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2E79" w14:textId="77777777" w:rsidR="005F2E44" w:rsidRDefault="005F2E44" w:rsidP="005F2E44">
      <w:pPr>
        <w:spacing w:after="200" w:line="276" w:lineRule="auto"/>
        <w:rPr>
          <w:rFonts w:ascii="Tahoma" w:eastAsia="Calibri" w:hAnsi="Tahoma" w:cs="Tahoma"/>
          <w:b/>
          <w:color w:val="0070C0"/>
          <w:sz w:val="20"/>
          <w:szCs w:val="20"/>
          <w:lang w:eastAsia="en-US"/>
        </w:rPr>
      </w:pPr>
    </w:p>
    <w:p w14:paraId="5ECAC188" w14:textId="77777777" w:rsidR="005F2E44" w:rsidRDefault="005F2E44" w:rsidP="005F2E44">
      <w:pPr>
        <w:spacing w:after="200" w:line="276" w:lineRule="auto"/>
        <w:rPr>
          <w:rFonts w:ascii="Tahoma" w:eastAsia="Calibri" w:hAnsi="Tahoma" w:cs="Tahoma"/>
          <w:b/>
          <w:color w:val="0070C0"/>
          <w:sz w:val="20"/>
          <w:szCs w:val="20"/>
          <w:lang w:eastAsia="en-US"/>
        </w:rPr>
      </w:pPr>
    </w:p>
    <w:p w14:paraId="236F55B3" w14:textId="77777777" w:rsidR="005F2E44" w:rsidRDefault="005F2E44" w:rsidP="005F2E44">
      <w:pPr>
        <w:spacing w:after="200" w:line="276" w:lineRule="auto"/>
        <w:rPr>
          <w:rFonts w:ascii="Tahoma" w:eastAsia="Calibri" w:hAnsi="Tahoma" w:cs="Tahoma"/>
          <w:b/>
          <w:color w:val="0070C0"/>
          <w:sz w:val="20"/>
          <w:szCs w:val="20"/>
          <w:lang w:eastAsia="en-US"/>
        </w:rPr>
      </w:pPr>
    </w:p>
    <w:p w14:paraId="01377EF6" w14:textId="77777777" w:rsidR="005F2E44" w:rsidRDefault="005F2E44" w:rsidP="005F2E44">
      <w:pPr>
        <w:spacing w:after="200" w:line="276" w:lineRule="auto"/>
        <w:rPr>
          <w:rFonts w:ascii="Tahoma" w:eastAsia="Calibri" w:hAnsi="Tahoma" w:cs="Tahoma"/>
          <w:b/>
          <w:color w:val="0070C0"/>
          <w:sz w:val="20"/>
          <w:szCs w:val="20"/>
          <w:lang w:eastAsia="en-US"/>
        </w:rPr>
      </w:pPr>
    </w:p>
    <w:p w14:paraId="490E490E" w14:textId="77777777" w:rsidR="005F2E44" w:rsidRDefault="005F2E44" w:rsidP="005F2E44">
      <w:pPr>
        <w:spacing w:after="200" w:line="276" w:lineRule="auto"/>
        <w:rPr>
          <w:rFonts w:ascii="Tahoma" w:eastAsia="Calibri" w:hAnsi="Tahoma" w:cs="Tahoma"/>
          <w:b/>
          <w:color w:val="0070C0"/>
          <w:sz w:val="20"/>
          <w:szCs w:val="20"/>
          <w:lang w:eastAsia="en-US"/>
        </w:rPr>
      </w:pPr>
    </w:p>
    <w:p w14:paraId="441585F0" w14:textId="101A343B" w:rsidR="005F2E44" w:rsidRPr="00C532BD" w:rsidRDefault="005F2E44" w:rsidP="005F2E44">
      <w:pPr>
        <w:spacing w:after="200" w:line="276" w:lineRule="auto"/>
        <w:rPr>
          <w:rFonts w:ascii="Arial" w:eastAsia="Calibri" w:hAnsi="Arial" w:cs="Arial"/>
          <w:b/>
          <w:bCs/>
          <w:sz w:val="76"/>
          <w:szCs w:val="76"/>
          <w:lang w:eastAsia="en-US"/>
        </w:rPr>
      </w:pPr>
      <w:r w:rsidRPr="00C532BD">
        <w:rPr>
          <w:rFonts w:ascii="Arial" w:eastAsia="Calibri" w:hAnsi="Arial" w:cs="Arial"/>
          <w:b/>
          <w:bCs/>
          <w:sz w:val="76"/>
          <w:szCs w:val="76"/>
          <w:lang w:eastAsia="en-US"/>
        </w:rPr>
        <w:t>Clinical Commissioning</w:t>
      </w:r>
      <w:r>
        <w:rPr>
          <w:rFonts w:ascii="Arial" w:eastAsia="Calibri" w:hAnsi="Arial" w:cs="Arial"/>
          <w:b/>
          <w:bCs/>
          <w:sz w:val="76"/>
          <w:szCs w:val="76"/>
          <w:lang w:eastAsia="en-US"/>
        </w:rPr>
        <w:t xml:space="preserve"> </w:t>
      </w:r>
      <w:r w:rsidR="005F2639">
        <w:rPr>
          <w:rFonts w:ascii="Arial" w:eastAsia="Calibri" w:hAnsi="Arial" w:cs="Arial"/>
          <w:b/>
          <w:bCs/>
          <w:sz w:val="76"/>
          <w:szCs w:val="76"/>
          <w:lang w:eastAsia="en-US"/>
        </w:rPr>
        <w:t xml:space="preserve">Interim </w:t>
      </w:r>
      <w:r w:rsidRPr="00C532BD">
        <w:rPr>
          <w:rFonts w:ascii="Arial" w:eastAsia="Calibri" w:hAnsi="Arial" w:cs="Arial"/>
          <w:b/>
          <w:bCs/>
          <w:sz w:val="76"/>
          <w:szCs w:val="76"/>
          <w:lang w:eastAsia="en-US"/>
        </w:rPr>
        <w:t>Policy</w:t>
      </w:r>
      <w:r w:rsidR="008065A6">
        <w:rPr>
          <w:rFonts w:ascii="Arial" w:eastAsia="Calibri" w:hAnsi="Arial" w:cs="Arial"/>
          <w:b/>
          <w:bCs/>
          <w:sz w:val="76"/>
          <w:szCs w:val="76"/>
          <w:lang w:eastAsia="en-US"/>
        </w:rPr>
        <w:t xml:space="preserve"> (DRAFT Proposed Policy)</w:t>
      </w:r>
    </w:p>
    <w:p w14:paraId="08C0240E" w14:textId="77777777" w:rsidR="005F2E44" w:rsidRPr="00C532BD" w:rsidRDefault="005F2E44" w:rsidP="005F2E44">
      <w:pPr>
        <w:rPr>
          <w:rFonts w:ascii="Arial" w:hAnsi="Arial" w:cs="Arial"/>
          <w:b/>
          <w:sz w:val="36"/>
          <w:szCs w:val="36"/>
        </w:rPr>
      </w:pPr>
    </w:p>
    <w:p w14:paraId="4E33D4B9" w14:textId="21229652" w:rsidR="005F2E44" w:rsidRPr="00C532BD" w:rsidRDefault="005F2E44" w:rsidP="005F2E44">
      <w:pPr>
        <w:rPr>
          <w:rFonts w:ascii="Arial" w:hAnsi="Arial" w:cs="Arial"/>
          <w:b/>
          <w:sz w:val="36"/>
          <w:szCs w:val="36"/>
        </w:rPr>
      </w:pPr>
      <w:r w:rsidRPr="00C532BD">
        <w:rPr>
          <w:rFonts w:ascii="Arial" w:hAnsi="Arial" w:cs="Arial"/>
          <w:b/>
          <w:sz w:val="36"/>
          <w:szCs w:val="36"/>
        </w:rPr>
        <w:t>CMICB_Clin</w:t>
      </w:r>
      <w:r>
        <w:rPr>
          <w:rFonts w:ascii="Arial" w:hAnsi="Arial" w:cs="Arial"/>
          <w:b/>
          <w:sz w:val="36"/>
          <w:szCs w:val="36"/>
        </w:rPr>
        <w:t>11</w:t>
      </w:r>
      <w:r w:rsidR="00CA5AE0">
        <w:rPr>
          <w:rFonts w:ascii="Arial" w:hAnsi="Arial" w:cs="Arial"/>
          <w:b/>
          <w:sz w:val="36"/>
          <w:szCs w:val="36"/>
        </w:rPr>
        <w:t>5</w:t>
      </w:r>
    </w:p>
    <w:p w14:paraId="34FF8852" w14:textId="14967DAF" w:rsidR="00866ABD" w:rsidRDefault="00866ABD" w:rsidP="005F2E44">
      <w:pPr>
        <w:spacing w:after="200" w:line="276" w:lineRule="auto"/>
        <w:rPr>
          <w:rFonts w:ascii="Arial" w:eastAsia="Calibri" w:hAnsi="Arial" w:cs="Arial"/>
          <w:sz w:val="44"/>
          <w:szCs w:val="144"/>
          <w:lang w:eastAsia="en-US"/>
        </w:rPr>
      </w:pPr>
    </w:p>
    <w:p w14:paraId="6E54486C" w14:textId="31EEDAA4" w:rsidR="001708FD" w:rsidRPr="00C532BD" w:rsidRDefault="00D42002" w:rsidP="005F2E44">
      <w:pPr>
        <w:spacing w:after="200" w:line="276" w:lineRule="auto"/>
        <w:rPr>
          <w:rFonts w:ascii="Arial" w:eastAsia="Calibri" w:hAnsi="Arial" w:cs="Arial"/>
          <w:sz w:val="44"/>
          <w:szCs w:val="144"/>
          <w:lang w:eastAsia="en-US"/>
        </w:rPr>
      </w:pPr>
      <w:r>
        <w:rPr>
          <w:rFonts w:ascii="Arial" w:eastAsia="Calibri" w:hAnsi="Arial" w:cs="Arial"/>
          <w:sz w:val="44"/>
          <w:szCs w:val="144"/>
          <w:lang w:eastAsia="en-US"/>
        </w:rPr>
        <w:t>NHS funded treatment for subfertility</w:t>
      </w:r>
    </w:p>
    <w:p w14:paraId="2C71C450" w14:textId="400BE818" w:rsidR="005454AD" w:rsidRPr="00C532BD" w:rsidRDefault="005454AD" w:rsidP="005F2E44">
      <w:pPr>
        <w:ind w:right="2408"/>
        <w:rPr>
          <w:rFonts w:ascii="Arial" w:eastAsia="Calibri" w:hAnsi="Arial" w:cs="Arial"/>
          <w:sz w:val="32"/>
          <w:szCs w:val="56"/>
          <w:lang w:eastAsia="en-US"/>
        </w:rPr>
      </w:pPr>
    </w:p>
    <w:p w14:paraId="32379E60" w14:textId="77777777" w:rsidR="005F2E44" w:rsidRPr="00C532BD" w:rsidRDefault="005F2E44" w:rsidP="005F2E44">
      <w:pPr>
        <w:spacing w:after="200" w:line="276" w:lineRule="auto"/>
        <w:rPr>
          <w:rFonts w:ascii="Tahoma" w:eastAsia="Calibri" w:hAnsi="Tahoma" w:cs="Tahoma"/>
          <w:b/>
          <w:sz w:val="20"/>
          <w:szCs w:val="20"/>
          <w:lang w:eastAsia="en-US"/>
        </w:rPr>
      </w:pPr>
    </w:p>
    <w:p w14:paraId="1AC3A7F6" w14:textId="77777777" w:rsidR="005F2E44" w:rsidRPr="00C532BD" w:rsidRDefault="005F2E44" w:rsidP="005F2E44">
      <w:pPr>
        <w:ind w:right="-1"/>
        <w:rPr>
          <w:rFonts w:ascii="Arial" w:eastAsia="Calibri" w:hAnsi="Arial" w:cs="Arial"/>
          <w:sz w:val="32"/>
          <w:szCs w:val="56"/>
          <w:lang w:eastAsia="en-US"/>
        </w:rPr>
      </w:pPr>
      <w:r w:rsidRPr="00C532BD">
        <w:rPr>
          <w:rFonts w:ascii="Arial" w:eastAsia="Calibri" w:hAnsi="Arial" w:cs="Arial"/>
          <w:sz w:val="32"/>
          <w:szCs w:val="56"/>
          <w:lang w:eastAsia="en-US"/>
        </w:rPr>
        <w:t>Category 2 Intervention</w:t>
      </w:r>
      <w:r>
        <w:rPr>
          <w:rFonts w:ascii="Arial" w:eastAsia="Calibri" w:hAnsi="Arial" w:cs="Arial"/>
          <w:sz w:val="32"/>
          <w:szCs w:val="56"/>
          <w:lang w:eastAsia="en-US"/>
        </w:rPr>
        <w:t xml:space="preserve"> - </w:t>
      </w:r>
      <w:r w:rsidRPr="00C532BD">
        <w:rPr>
          <w:rFonts w:ascii="Arial" w:eastAsia="Calibri" w:hAnsi="Arial" w:cs="Arial"/>
          <w:sz w:val="32"/>
          <w:szCs w:val="56"/>
          <w:lang w:eastAsia="en-US"/>
        </w:rPr>
        <w:t>Only routinely commissioned when specific criteria are met</w:t>
      </w:r>
    </w:p>
    <w:p w14:paraId="5F0F4F19" w14:textId="77777777" w:rsidR="005F2E44" w:rsidRPr="00C532BD" w:rsidRDefault="005F2E44" w:rsidP="005F2E44">
      <w:pPr>
        <w:spacing w:after="200" w:line="276" w:lineRule="auto"/>
        <w:rPr>
          <w:rFonts w:ascii="Tahoma" w:eastAsia="Calibri" w:hAnsi="Tahoma" w:cs="Tahoma"/>
          <w:b/>
          <w:sz w:val="20"/>
          <w:szCs w:val="20"/>
          <w:lang w:eastAsia="en-US"/>
        </w:rPr>
      </w:pPr>
    </w:p>
    <w:p w14:paraId="695A5DE7" w14:textId="77777777" w:rsidR="005F2E44" w:rsidRDefault="005F2E44" w:rsidP="005F2E44">
      <w:pPr>
        <w:rPr>
          <w:rFonts w:ascii="Arial" w:eastAsia="Arial" w:hAnsi="Arial" w:cs="Arial"/>
          <w:b/>
          <w:bCs/>
        </w:rPr>
      </w:pPr>
    </w:p>
    <w:p w14:paraId="4AD14F5E" w14:textId="77777777" w:rsidR="005F2E44" w:rsidRDefault="005F2E44" w:rsidP="005F2E44">
      <w:pPr>
        <w:rPr>
          <w:rFonts w:ascii="Arial" w:eastAsia="Arial" w:hAnsi="Arial" w:cs="Arial"/>
          <w:b/>
          <w:bCs/>
        </w:rPr>
      </w:pPr>
    </w:p>
    <w:p w14:paraId="5ADEAAEE" w14:textId="77777777" w:rsidR="005F2E44" w:rsidRDefault="005F2E44" w:rsidP="005F2E44">
      <w:pPr>
        <w:rPr>
          <w:rFonts w:ascii="Arial" w:eastAsia="Arial" w:hAnsi="Arial" w:cs="Arial"/>
          <w:b/>
          <w:bCs/>
        </w:rPr>
      </w:pPr>
    </w:p>
    <w:p w14:paraId="2B5047E0" w14:textId="77777777" w:rsidR="005F2E44" w:rsidRDefault="005F2E44" w:rsidP="005F2E44">
      <w:pPr>
        <w:rPr>
          <w:rFonts w:ascii="Arial" w:eastAsia="Arial" w:hAnsi="Arial" w:cs="Arial"/>
          <w:b/>
          <w:bCs/>
        </w:rPr>
      </w:pPr>
    </w:p>
    <w:p w14:paraId="1A7D3916" w14:textId="77777777" w:rsidR="005F2E44" w:rsidRDefault="005F2E44" w:rsidP="005F2E44">
      <w:pPr>
        <w:rPr>
          <w:rFonts w:ascii="Arial" w:eastAsia="Arial" w:hAnsi="Arial" w:cs="Arial"/>
          <w:b/>
          <w:bCs/>
        </w:rPr>
      </w:pPr>
    </w:p>
    <w:p w14:paraId="5103C3FA" w14:textId="77777777" w:rsidR="005F2E44" w:rsidRDefault="005F2E44" w:rsidP="005F2E44">
      <w:pPr>
        <w:rPr>
          <w:rFonts w:ascii="Arial" w:eastAsia="Arial" w:hAnsi="Arial" w:cs="Arial"/>
          <w:b/>
          <w:bCs/>
        </w:rPr>
      </w:pPr>
    </w:p>
    <w:p w14:paraId="5A5E4D78" w14:textId="77777777" w:rsidR="0053475C" w:rsidRDefault="0053475C" w:rsidP="005F2E44">
      <w:pPr>
        <w:rPr>
          <w:rFonts w:ascii="Arial" w:eastAsia="Arial" w:hAnsi="Arial" w:cs="Arial"/>
          <w:b/>
          <w:bCs/>
        </w:rPr>
      </w:pPr>
    </w:p>
    <w:p w14:paraId="0E22F1E3" w14:textId="77777777" w:rsidR="0053475C" w:rsidRDefault="0053475C" w:rsidP="005F2E44">
      <w:pPr>
        <w:rPr>
          <w:rFonts w:ascii="Arial" w:eastAsia="Arial" w:hAnsi="Arial" w:cs="Arial"/>
          <w:b/>
          <w:bCs/>
        </w:rPr>
      </w:pPr>
    </w:p>
    <w:p w14:paraId="21CEBF46" w14:textId="77777777" w:rsidR="0053475C" w:rsidRDefault="0053475C" w:rsidP="005F2E44">
      <w:pPr>
        <w:rPr>
          <w:rFonts w:ascii="Arial" w:eastAsia="Arial" w:hAnsi="Arial" w:cs="Arial"/>
          <w:b/>
          <w:bCs/>
        </w:rPr>
      </w:pPr>
    </w:p>
    <w:p w14:paraId="442BAF1D" w14:textId="77777777" w:rsidR="00EF10A0" w:rsidRDefault="00EF10A0" w:rsidP="005F2E44">
      <w:pPr>
        <w:rPr>
          <w:rFonts w:ascii="Arial" w:eastAsia="Arial" w:hAnsi="Arial" w:cs="Arial"/>
          <w:b/>
          <w:bCs/>
        </w:rPr>
      </w:pPr>
    </w:p>
    <w:p w14:paraId="499BD655" w14:textId="77777777" w:rsidR="005F2E44" w:rsidRDefault="005F2E44" w:rsidP="005F2E44">
      <w:pPr>
        <w:rPr>
          <w:rFonts w:ascii="Arial" w:eastAsia="Arial" w:hAnsi="Arial" w:cs="Arial"/>
          <w:b/>
          <w:bCs/>
        </w:rPr>
      </w:pPr>
    </w:p>
    <w:p w14:paraId="7A7A541E" w14:textId="0BADE694" w:rsidR="005F2E44" w:rsidRPr="0048722E" w:rsidRDefault="005F2E44" w:rsidP="005F2E44">
      <w:pPr>
        <w:ind w:right="-1"/>
        <w:rPr>
          <w:rFonts w:ascii="Arial" w:eastAsia="Calibri" w:hAnsi="Arial" w:cs="Arial"/>
          <w:sz w:val="32"/>
          <w:szCs w:val="56"/>
          <w:lang w:eastAsia="en-US"/>
        </w:rPr>
      </w:pPr>
      <w:r w:rsidRPr="00253772">
        <w:rPr>
          <w:rFonts w:ascii="Arial" w:eastAsia="Calibri" w:hAnsi="Arial" w:cs="Arial"/>
          <w:b/>
          <w:bCs/>
          <w:sz w:val="32"/>
          <w:szCs w:val="56"/>
          <w:lang w:eastAsia="en-US"/>
        </w:rPr>
        <w:t>Last Reviewed:</w:t>
      </w:r>
      <w:r w:rsidRPr="0048722E">
        <w:rPr>
          <w:rFonts w:ascii="Arial" w:eastAsia="Calibri" w:hAnsi="Arial" w:cs="Arial"/>
          <w:sz w:val="32"/>
          <w:szCs w:val="56"/>
          <w:lang w:eastAsia="en-US"/>
        </w:rPr>
        <w:t xml:space="preserve"> </w:t>
      </w:r>
      <w:r w:rsidR="00BE6CDB">
        <w:rPr>
          <w:rFonts w:ascii="Arial" w:eastAsia="Calibri" w:hAnsi="Arial" w:cs="Arial"/>
          <w:sz w:val="32"/>
          <w:szCs w:val="56"/>
          <w:lang w:eastAsia="en-US"/>
        </w:rPr>
        <w:t xml:space="preserve"> </w:t>
      </w:r>
      <w:r w:rsidR="008864ED">
        <w:rPr>
          <w:rFonts w:ascii="Arial" w:eastAsia="Calibri" w:hAnsi="Arial" w:cs="Arial"/>
          <w:sz w:val="32"/>
          <w:szCs w:val="56"/>
          <w:lang w:eastAsia="en-US"/>
        </w:rPr>
        <w:t>May 2025</w:t>
      </w:r>
    </w:p>
    <w:p w14:paraId="0053920C" w14:textId="5F8C2C11" w:rsidR="00361B48" w:rsidRDefault="00E62C2E" w:rsidP="005F2E44">
      <w:pPr>
        <w:ind w:right="-1"/>
        <w:rPr>
          <w:rFonts w:ascii="Arial" w:hAnsi="Arial" w:cs="Arial"/>
          <w:i/>
          <w:iCs/>
        </w:rPr>
      </w:pPr>
      <w:r>
        <w:rPr>
          <w:rFonts w:ascii="Arial" w:hAnsi="Arial" w:cs="Arial"/>
          <w:i/>
          <w:iCs/>
        </w:rPr>
        <w:t>A review of t</w:t>
      </w:r>
      <w:r w:rsidR="00BE730D">
        <w:rPr>
          <w:rFonts w:ascii="Arial" w:hAnsi="Arial" w:cs="Arial"/>
          <w:i/>
          <w:iCs/>
        </w:rPr>
        <w:t>his policy</w:t>
      </w:r>
      <w:r w:rsidR="00921FF0">
        <w:rPr>
          <w:rFonts w:ascii="Arial" w:hAnsi="Arial" w:cs="Arial"/>
          <w:i/>
          <w:iCs/>
        </w:rPr>
        <w:t xml:space="preserve"> </w:t>
      </w:r>
      <w:r>
        <w:rPr>
          <w:rFonts w:ascii="Arial" w:hAnsi="Arial" w:cs="Arial"/>
          <w:i/>
          <w:iCs/>
        </w:rPr>
        <w:t xml:space="preserve">will be </w:t>
      </w:r>
      <w:r w:rsidR="00843FEF">
        <w:rPr>
          <w:rFonts w:ascii="Arial" w:hAnsi="Arial" w:cs="Arial"/>
          <w:i/>
          <w:iCs/>
        </w:rPr>
        <w:t>expedited</w:t>
      </w:r>
      <w:r w:rsidR="00673099">
        <w:rPr>
          <w:rFonts w:ascii="Arial" w:hAnsi="Arial" w:cs="Arial"/>
          <w:i/>
          <w:iCs/>
        </w:rPr>
        <w:t xml:space="preserve"> </w:t>
      </w:r>
      <w:r w:rsidR="008A3297">
        <w:rPr>
          <w:rFonts w:ascii="Arial" w:hAnsi="Arial" w:cs="Arial"/>
          <w:i/>
          <w:iCs/>
        </w:rPr>
        <w:t xml:space="preserve">upon publication </w:t>
      </w:r>
      <w:r w:rsidR="00D648B2">
        <w:rPr>
          <w:rFonts w:ascii="Arial" w:hAnsi="Arial" w:cs="Arial"/>
          <w:i/>
          <w:iCs/>
        </w:rPr>
        <w:t xml:space="preserve">of </w:t>
      </w:r>
      <w:r w:rsidR="00724191">
        <w:rPr>
          <w:rFonts w:ascii="Arial" w:hAnsi="Arial" w:cs="Arial"/>
          <w:i/>
          <w:iCs/>
        </w:rPr>
        <w:t xml:space="preserve">updated NICE guidance </w:t>
      </w:r>
      <w:r w:rsidR="008A3297">
        <w:rPr>
          <w:rFonts w:ascii="Arial" w:hAnsi="Arial" w:cs="Arial"/>
          <w:i/>
          <w:iCs/>
        </w:rPr>
        <w:t xml:space="preserve">NG156 </w:t>
      </w:r>
      <w:r w:rsidR="00BB4064">
        <w:rPr>
          <w:rFonts w:ascii="Arial" w:hAnsi="Arial" w:cs="Arial"/>
          <w:i/>
          <w:iCs/>
        </w:rPr>
        <w:t>expected</w:t>
      </w:r>
      <w:r w:rsidR="008871BE">
        <w:rPr>
          <w:rFonts w:ascii="Arial" w:hAnsi="Arial" w:cs="Arial"/>
          <w:i/>
          <w:iCs/>
        </w:rPr>
        <w:t xml:space="preserve"> </w:t>
      </w:r>
      <w:r w:rsidR="00D51C84">
        <w:rPr>
          <w:rFonts w:ascii="Arial" w:hAnsi="Arial" w:cs="Arial"/>
          <w:i/>
          <w:iCs/>
        </w:rPr>
        <w:t>in 2025</w:t>
      </w:r>
    </w:p>
    <w:p w14:paraId="27179FD0" w14:textId="070FB306" w:rsidR="00BE730D" w:rsidRDefault="00BE730D" w:rsidP="005F2E44">
      <w:pPr>
        <w:ind w:right="-1"/>
        <w:rPr>
          <w:rFonts w:ascii="Arial" w:hAnsi="Arial" w:cs="Arial"/>
          <w:i/>
          <w:iCs/>
        </w:rPr>
      </w:pPr>
      <w:r>
        <w:rPr>
          <w:rFonts w:ascii="Arial" w:hAnsi="Arial" w:cs="Arial"/>
          <w:i/>
          <w:iCs/>
        </w:rPr>
        <w:t xml:space="preserve"> </w:t>
      </w:r>
    </w:p>
    <w:sdt>
      <w:sdtPr>
        <w:rPr>
          <w:rFonts w:ascii="Arial" w:eastAsia="Times New Roman" w:hAnsi="Arial" w:cs="Arial"/>
          <w:color w:val="auto"/>
          <w:sz w:val="22"/>
          <w:szCs w:val="22"/>
          <w:lang w:val="en-GB" w:eastAsia="en-GB"/>
        </w:rPr>
        <w:id w:val="-2049521737"/>
        <w:docPartObj>
          <w:docPartGallery w:val="Table of Contents"/>
          <w:docPartUnique/>
        </w:docPartObj>
      </w:sdtPr>
      <w:sdtEndPr>
        <w:rPr>
          <w:noProof/>
        </w:rPr>
      </w:sdtEndPr>
      <w:sdtContent>
        <w:p w14:paraId="120EED5B" w14:textId="77777777" w:rsidR="00320B29" w:rsidRPr="00F46B53" w:rsidRDefault="00320B29" w:rsidP="00567B5F">
          <w:pPr>
            <w:pStyle w:val="TOCHeading"/>
            <w:spacing w:before="0" w:line="240" w:lineRule="auto"/>
            <w:rPr>
              <w:rFonts w:ascii="Arial" w:eastAsia="Times New Roman" w:hAnsi="Arial" w:cs="Arial"/>
              <w:color w:val="auto"/>
              <w:sz w:val="22"/>
              <w:szCs w:val="22"/>
              <w:lang w:val="en-GB" w:eastAsia="en-GB"/>
            </w:rPr>
            <w:sectPr w:rsidR="00320B29" w:rsidRPr="00F46B53" w:rsidSect="00793329">
              <w:headerReference w:type="even" r:id="rId11"/>
              <w:headerReference w:type="default" r:id="rId12"/>
              <w:footerReference w:type="default" r:id="rId13"/>
              <w:headerReference w:type="first" r:id="rId14"/>
              <w:footerReference w:type="first" r:id="rId15"/>
              <w:footnotePr>
                <w:numFmt w:val="chicago"/>
              </w:footnotePr>
              <w:endnotePr>
                <w:numFmt w:val="decimal"/>
              </w:endnotePr>
              <w:pgSz w:w="11906" w:h="16838"/>
              <w:pgMar w:top="1276" w:right="1134" w:bottom="1134" w:left="1134" w:header="709" w:footer="405" w:gutter="0"/>
              <w:cols w:space="708"/>
              <w:docGrid w:linePitch="360"/>
            </w:sectPr>
          </w:pPr>
        </w:p>
        <w:p w14:paraId="31701758" w14:textId="12EA55D6" w:rsidR="00151D53" w:rsidRPr="004F5362" w:rsidRDefault="00151D53" w:rsidP="004F5362">
          <w:pPr>
            <w:pStyle w:val="TOCHeading"/>
            <w:spacing w:before="0" w:line="240" w:lineRule="auto"/>
            <w:ind w:right="-567"/>
            <w:rPr>
              <w:rFonts w:ascii="Arial" w:hAnsi="Arial" w:cs="Arial"/>
              <w:color w:val="auto"/>
            </w:rPr>
          </w:pPr>
          <w:r w:rsidRPr="00421000">
            <w:rPr>
              <w:rFonts w:ascii="Arial" w:hAnsi="Arial" w:cs="Arial"/>
              <w:b/>
              <w:bCs/>
              <w:color w:val="auto"/>
            </w:rPr>
            <w:lastRenderedPageBreak/>
            <w:t>Contents</w:t>
          </w:r>
        </w:p>
        <w:p w14:paraId="2917A96D" w14:textId="77777777" w:rsidR="009906D2" w:rsidRPr="004F5362" w:rsidRDefault="009906D2" w:rsidP="004F5362">
          <w:pPr>
            <w:ind w:right="-567"/>
            <w:rPr>
              <w:rFonts w:ascii="Arial" w:hAnsi="Arial" w:cs="Arial"/>
              <w:sz w:val="20"/>
              <w:szCs w:val="20"/>
              <w:lang w:val="en-US" w:eastAsia="en-US"/>
            </w:rPr>
          </w:pPr>
        </w:p>
        <w:p w14:paraId="0DFD9BBF" w14:textId="0A812863" w:rsidR="004F5362" w:rsidRPr="004F5362" w:rsidRDefault="00151D53" w:rsidP="004F5362">
          <w:pPr>
            <w:pStyle w:val="TOC2"/>
            <w:ind w:right="-567"/>
            <w:rPr>
              <w:rFonts w:ascii="Arial" w:eastAsiaTheme="minorEastAsia" w:hAnsi="Arial" w:cs="Arial"/>
              <w:noProof/>
              <w:kern w:val="2"/>
              <w:sz w:val="22"/>
              <w:szCs w:val="22"/>
            </w:rPr>
          </w:pPr>
          <w:r w:rsidRPr="004F5362">
            <w:rPr>
              <w:rFonts w:ascii="Arial" w:hAnsi="Arial" w:cs="Arial"/>
              <w:sz w:val="20"/>
              <w:szCs w:val="20"/>
            </w:rPr>
            <w:fldChar w:fldCharType="begin"/>
          </w:r>
          <w:r w:rsidRPr="004F5362">
            <w:rPr>
              <w:rFonts w:ascii="Arial" w:hAnsi="Arial" w:cs="Arial"/>
              <w:sz w:val="20"/>
              <w:szCs w:val="20"/>
            </w:rPr>
            <w:instrText xml:space="preserve"> TOC \o "1-3" \h \z \u </w:instrText>
          </w:r>
          <w:r w:rsidRPr="004F5362">
            <w:rPr>
              <w:rFonts w:ascii="Arial" w:hAnsi="Arial" w:cs="Arial"/>
              <w:sz w:val="20"/>
              <w:szCs w:val="20"/>
            </w:rPr>
            <w:fldChar w:fldCharType="separate"/>
          </w:r>
          <w:hyperlink w:anchor="_Toc199755648" w:history="1">
            <w:r w:rsidR="004F5362" w:rsidRPr="004F5362">
              <w:rPr>
                <w:rStyle w:val="Hyperlink"/>
                <w:rFonts w:ascii="Arial" w:eastAsiaTheme="minorHAnsi" w:hAnsi="Arial" w:cs="Arial"/>
                <w:noProof/>
                <w:sz w:val="22"/>
                <w:szCs w:val="22"/>
                <w:lang w:eastAsia="en-US"/>
              </w:rPr>
              <w:t>1.</w:t>
            </w:r>
            <w:r w:rsidR="004F5362" w:rsidRPr="004F5362">
              <w:rPr>
                <w:rFonts w:ascii="Arial" w:eastAsiaTheme="minorEastAsia" w:hAnsi="Arial" w:cs="Arial"/>
                <w:noProof/>
                <w:kern w:val="2"/>
                <w:sz w:val="22"/>
                <w:szCs w:val="22"/>
              </w:rPr>
              <w:tab/>
            </w:r>
            <w:r w:rsidR="004F5362" w:rsidRPr="004F5362">
              <w:rPr>
                <w:rStyle w:val="Hyperlink"/>
                <w:rFonts w:ascii="Arial" w:eastAsiaTheme="minorHAnsi" w:hAnsi="Arial" w:cs="Arial"/>
                <w:noProof/>
                <w:sz w:val="22"/>
                <w:szCs w:val="22"/>
                <w:lang w:eastAsia="en-US"/>
              </w:rPr>
              <w:t>Interim Policy Statement</w:t>
            </w:r>
            <w:r w:rsidR="004F5362" w:rsidRPr="004F5362">
              <w:rPr>
                <w:rFonts w:ascii="Arial" w:hAnsi="Arial" w:cs="Arial"/>
                <w:noProof/>
                <w:webHidden/>
                <w:sz w:val="22"/>
                <w:szCs w:val="22"/>
              </w:rPr>
              <w:tab/>
            </w:r>
            <w:r w:rsidR="004F5362" w:rsidRPr="004F5362">
              <w:rPr>
                <w:rFonts w:ascii="Arial" w:hAnsi="Arial" w:cs="Arial"/>
                <w:noProof/>
                <w:webHidden/>
                <w:sz w:val="22"/>
                <w:szCs w:val="22"/>
              </w:rPr>
              <w:fldChar w:fldCharType="begin"/>
            </w:r>
            <w:r w:rsidR="004F5362" w:rsidRPr="004F5362">
              <w:rPr>
                <w:rFonts w:ascii="Arial" w:hAnsi="Arial" w:cs="Arial"/>
                <w:noProof/>
                <w:webHidden/>
                <w:sz w:val="22"/>
                <w:szCs w:val="22"/>
              </w:rPr>
              <w:instrText xml:space="preserve"> PAGEREF _Toc199755648 \h </w:instrText>
            </w:r>
            <w:r w:rsidR="004F5362" w:rsidRPr="004F5362">
              <w:rPr>
                <w:rFonts w:ascii="Arial" w:hAnsi="Arial" w:cs="Arial"/>
                <w:noProof/>
                <w:webHidden/>
                <w:sz w:val="22"/>
                <w:szCs w:val="22"/>
              </w:rPr>
            </w:r>
            <w:r w:rsidR="004F5362" w:rsidRPr="004F5362">
              <w:rPr>
                <w:rFonts w:ascii="Arial" w:hAnsi="Arial" w:cs="Arial"/>
                <w:noProof/>
                <w:webHidden/>
                <w:sz w:val="22"/>
                <w:szCs w:val="22"/>
              </w:rPr>
              <w:fldChar w:fldCharType="separate"/>
            </w:r>
            <w:r w:rsidR="004F5362" w:rsidRPr="004F5362">
              <w:rPr>
                <w:rFonts w:ascii="Arial" w:hAnsi="Arial" w:cs="Arial"/>
                <w:noProof/>
                <w:webHidden/>
                <w:sz w:val="22"/>
                <w:szCs w:val="22"/>
              </w:rPr>
              <w:t>3</w:t>
            </w:r>
            <w:r w:rsidR="004F5362" w:rsidRPr="004F5362">
              <w:rPr>
                <w:rFonts w:ascii="Arial" w:hAnsi="Arial" w:cs="Arial"/>
                <w:noProof/>
                <w:webHidden/>
                <w:sz w:val="22"/>
                <w:szCs w:val="22"/>
              </w:rPr>
              <w:fldChar w:fldCharType="end"/>
            </w:r>
          </w:hyperlink>
        </w:p>
        <w:p w14:paraId="554CB604" w14:textId="62D8478F" w:rsidR="004F5362" w:rsidRPr="004F5362" w:rsidRDefault="004F5362" w:rsidP="004F5362">
          <w:pPr>
            <w:pStyle w:val="TOC2"/>
            <w:ind w:right="-567"/>
            <w:rPr>
              <w:rFonts w:ascii="Arial" w:eastAsiaTheme="minorEastAsia" w:hAnsi="Arial" w:cs="Arial"/>
              <w:noProof/>
              <w:kern w:val="2"/>
              <w:sz w:val="22"/>
              <w:szCs w:val="22"/>
            </w:rPr>
          </w:pPr>
          <w:hyperlink w:anchor="_Toc199755649" w:history="1">
            <w:r w:rsidRPr="004F5362">
              <w:rPr>
                <w:rStyle w:val="Hyperlink"/>
                <w:rFonts w:ascii="Arial" w:eastAsiaTheme="minorHAnsi" w:hAnsi="Arial" w:cs="Arial"/>
                <w:noProof/>
                <w:sz w:val="22"/>
                <w:szCs w:val="22"/>
                <w:lang w:eastAsia="en-US"/>
              </w:rPr>
              <w:t>2.</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Introduction</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_Toc199755649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3</w:t>
            </w:r>
            <w:r w:rsidRPr="004F5362">
              <w:rPr>
                <w:rFonts w:ascii="Arial" w:hAnsi="Arial" w:cs="Arial"/>
                <w:noProof/>
                <w:webHidden/>
                <w:sz w:val="22"/>
                <w:szCs w:val="22"/>
              </w:rPr>
              <w:fldChar w:fldCharType="end"/>
            </w:r>
          </w:hyperlink>
        </w:p>
        <w:p w14:paraId="7AEFAA2A" w14:textId="2DA8582B" w:rsidR="004F5362" w:rsidRPr="004F5362" w:rsidRDefault="004F5362" w:rsidP="004F5362">
          <w:pPr>
            <w:pStyle w:val="TOC2"/>
            <w:ind w:right="-567"/>
            <w:rPr>
              <w:rFonts w:ascii="Arial" w:eastAsiaTheme="minorEastAsia" w:hAnsi="Arial" w:cs="Arial"/>
              <w:noProof/>
              <w:kern w:val="2"/>
              <w:sz w:val="22"/>
              <w:szCs w:val="22"/>
            </w:rPr>
          </w:pPr>
          <w:hyperlink w:anchor="_Toc199755650" w:history="1">
            <w:r w:rsidRPr="004F5362">
              <w:rPr>
                <w:rStyle w:val="Hyperlink"/>
                <w:rFonts w:ascii="Arial" w:eastAsiaTheme="minorHAnsi" w:hAnsi="Arial" w:cs="Arial"/>
                <w:noProof/>
                <w:sz w:val="22"/>
                <w:szCs w:val="22"/>
                <w:lang w:eastAsia="en-US"/>
              </w:rPr>
              <w:t>3.</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General Principles</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_Toc199755650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4</w:t>
            </w:r>
            <w:r w:rsidRPr="004F5362">
              <w:rPr>
                <w:rFonts w:ascii="Arial" w:hAnsi="Arial" w:cs="Arial"/>
                <w:noProof/>
                <w:webHidden/>
                <w:sz w:val="22"/>
                <w:szCs w:val="22"/>
              </w:rPr>
              <w:fldChar w:fldCharType="end"/>
            </w:r>
          </w:hyperlink>
        </w:p>
        <w:p w14:paraId="576010FB" w14:textId="19D848EB" w:rsidR="004F5362" w:rsidRPr="004F5362" w:rsidRDefault="004F5362" w:rsidP="004F5362">
          <w:pPr>
            <w:pStyle w:val="TOC1"/>
            <w:ind w:right="-567"/>
            <w:rPr>
              <w:rFonts w:eastAsiaTheme="minorEastAsia"/>
              <w:kern w:val="2"/>
              <w:sz w:val="28"/>
              <w:szCs w:val="28"/>
              <w:lang w:eastAsia="en-GB"/>
            </w:rPr>
          </w:pPr>
          <w:hyperlink w:anchor="_Toc199755651" w:history="1">
            <w:r w:rsidRPr="004F5362">
              <w:rPr>
                <w:rStyle w:val="Hyperlink"/>
              </w:rPr>
              <w:t>Eligibility Criteria</w:t>
            </w:r>
            <w:r w:rsidRPr="004F5362">
              <w:rPr>
                <w:webHidden/>
              </w:rPr>
              <w:tab/>
            </w:r>
            <w:r w:rsidRPr="004F5362">
              <w:rPr>
                <w:webHidden/>
              </w:rPr>
              <w:fldChar w:fldCharType="begin"/>
            </w:r>
            <w:r w:rsidRPr="004F5362">
              <w:rPr>
                <w:webHidden/>
              </w:rPr>
              <w:instrText xml:space="preserve"> PAGEREF _Toc199755651 \h </w:instrText>
            </w:r>
            <w:r w:rsidRPr="004F5362">
              <w:rPr>
                <w:webHidden/>
              </w:rPr>
            </w:r>
            <w:r w:rsidRPr="004F5362">
              <w:rPr>
                <w:webHidden/>
              </w:rPr>
              <w:fldChar w:fldCharType="separate"/>
            </w:r>
            <w:r w:rsidRPr="004F5362">
              <w:rPr>
                <w:webHidden/>
              </w:rPr>
              <w:t>4</w:t>
            </w:r>
            <w:r w:rsidRPr="004F5362">
              <w:rPr>
                <w:webHidden/>
              </w:rPr>
              <w:fldChar w:fldCharType="end"/>
            </w:r>
          </w:hyperlink>
        </w:p>
        <w:p w14:paraId="1B78539D" w14:textId="23F6B129" w:rsidR="004F5362" w:rsidRPr="004F5362" w:rsidRDefault="004F5362" w:rsidP="004F5362">
          <w:pPr>
            <w:pStyle w:val="TOC2"/>
            <w:ind w:right="-567"/>
            <w:rPr>
              <w:rFonts w:ascii="Arial" w:eastAsiaTheme="minorEastAsia" w:hAnsi="Arial" w:cs="Arial"/>
              <w:noProof/>
              <w:kern w:val="2"/>
              <w:sz w:val="22"/>
              <w:szCs w:val="22"/>
            </w:rPr>
          </w:pPr>
          <w:hyperlink w:anchor="_Toc199755652" w:history="1">
            <w:r w:rsidRPr="004F5362">
              <w:rPr>
                <w:rStyle w:val="Hyperlink"/>
                <w:rFonts w:ascii="Arial" w:eastAsiaTheme="minorHAnsi" w:hAnsi="Arial" w:cs="Arial"/>
                <w:noProof/>
                <w:sz w:val="22"/>
                <w:szCs w:val="22"/>
                <w:lang w:eastAsia="en-US"/>
              </w:rPr>
              <w:t>4.</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Subfertility Definition, timing of access to treatment and age range</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_Toc199755652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4</w:t>
            </w:r>
            <w:r w:rsidRPr="004F5362">
              <w:rPr>
                <w:rFonts w:ascii="Arial" w:hAnsi="Arial" w:cs="Arial"/>
                <w:noProof/>
                <w:webHidden/>
                <w:sz w:val="22"/>
                <w:szCs w:val="22"/>
              </w:rPr>
              <w:fldChar w:fldCharType="end"/>
            </w:r>
          </w:hyperlink>
        </w:p>
        <w:p w14:paraId="722C6D1F" w14:textId="6E4B60F6" w:rsidR="004F5362" w:rsidRPr="004F5362" w:rsidRDefault="004F5362" w:rsidP="004F5362">
          <w:pPr>
            <w:pStyle w:val="TOC2"/>
            <w:ind w:right="-567"/>
            <w:rPr>
              <w:rFonts w:ascii="Arial" w:eastAsiaTheme="minorEastAsia" w:hAnsi="Arial" w:cs="Arial"/>
              <w:noProof/>
              <w:kern w:val="2"/>
              <w:sz w:val="22"/>
              <w:szCs w:val="22"/>
            </w:rPr>
          </w:pPr>
          <w:hyperlink w:anchor="_Toc199755653" w:history="1">
            <w:r w:rsidRPr="004F5362">
              <w:rPr>
                <w:rStyle w:val="Hyperlink"/>
                <w:rFonts w:ascii="Arial" w:eastAsiaTheme="minorHAnsi" w:hAnsi="Arial" w:cs="Arial"/>
                <w:noProof/>
                <w:sz w:val="22"/>
                <w:szCs w:val="22"/>
                <w:lang w:eastAsia="en-US"/>
              </w:rPr>
              <w:t>5.</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Same sex couples and single women</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_Toc199755653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5</w:t>
            </w:r>
            <w:r w:rsidRPr="004F5362">
              <w:rPr>
                <w:rFonts w:ascii="Arial" w:hAnsi="Arial" w:cs="Arial"/>
                <w:noProof/>
                <w:webHidden/>
                <w:sz w:val="22"/>
                <w:szCs w:val="22"/>
              </w:rPr>
              <w:fldChar w:fldCharType="end"/>
            </w:r>
          </w:hyperlink>
        </w:p>
        <w:p w14:paraId="2D633C38" w14:textId="76C490BE" w:rsidR="004F5362" w:rsidRPr="004F5362" w:rsidRDefault="004F5362" w:rsidP="004F5362">
          <w:pPr>
            <w:pStyle w:val="TOC2"/>
            <w:ind w:right="-567"/>
            <w:rPr>
              <w:rFonts w:ascii="Arial" w:eastAsiaTheme="minorEastAsia" w:hAnsi="Arial" w:cs="Arial"/>
              <w:noProof/>
              <w:kern w:val="2"/>
              <w:sz w:val="22"/>
              <w:szCs w:val="22"/>
            </w:rPr>
          </w:pPr>
          <w:hyperlink w:anchor="_Toc199755654" w:history="1">
            <w:r w:rsidRPr="004F5362">
              <w:rPr>
                <w:rStyle w:val="Hyperlink"/>
                <w:rFonts w:ascii="Arial" w:eastAsiaTheme="minorHAnsi" w:hAnsi="Arial" w:cs="Arial"/>
                <w:noProof/>
                <w:sz w:val="22"/>
                <w:szCs w:val="22"/>
                <w:lang w:eastAsia="en-US"/>
              </w:rPr>
              <w:t>6.</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Overseas Visitors</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_Toc199755654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5</w:t>
            </w:r>
            <w:r w:rsidRPr="004F5362">
              <w:rPr>
                <w:rFonts w:ascii="Arial" w:hAnsi="Arial" w:cs="Arial"/>
                <w:noProof/>
                <w:webHidden/>
                <w:sz w:val="22"/>
                <w:szCs w:val="22"/>
              </w:rPr>
              <w:fldChar w:fldCharType="end"/>
            </w:r>
          </w:hyperlink>
        </w:p>
        <w:p w14:paraId="5309F0DB" w14:textId="3B5D7C34" w:rsidR="004F5362" w:rsidRPr="004F5362" w:rsidRDefault="004F5362" w:rsidP="004F5362">
          <w:pPr>
            <w:pStyle w:val="TOC2"/>
            <w:ind w:right="-567"/>
            <w:rPr>
              <w:rFonts w:ascii="Arial" w:eastAsiaTheme="minorEastAsia" w:hAnsi="Arial" w:cs="Arial"/>
              <w:noProof/>
              <w:kern w:val="2"/>
              <w:sz w:val="22"/>
              <w:szCs w:val="22"/>
            </w:rPr>
          </w:pPr>
          <w:hyperlink w:anchor="_Toc199755655" w:history="1">
            <w:r w:rsidRPr="004F5362">
              <w:rPr>
                <w:rStyle w:val="Hyperlink"/>
                <w:rFonts w:ascii="Arial" w:eastAsiaTheme="minorHAnsi" w:hAnsi="Arial" w:cs="Arial"/>
                <w:noProof/>
                <w:sz w:val="22"/>
                <w:szCs w:val="22"/>
                <w:lang w:eastAsia="en-US"/>
              </w:rPr>
              <w:t>7.</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Childlessness (current or previous children)</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_Toc199755655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6</w:t>
            </w:r>
            <w:r w:rsidRPr="004F5362">
              <w:rPr>
                <w:rFonts w:ascii="Arial" w:hAnsi="Arial" w:cs="Arial"/>
                <w:noProof/>
                <w:webHidden/>
                <w:sz w:val="22"/>
                <w:szCs w:val="22"/>
              </w:rPr>
              <w:fldChar w:fldCharType="end"/>
            </w:r>
          </w:hyperlink>
        </w:p>
        <w:p w14:paraId="3F69EA75" w14:textId="53369D98" w:rsidR="004F5362" w:rsidRPr="004F5362" w:rsidRDefault="004F5362" w:rsidP="004F5362">
          <w:pPr>
            <w:pStyle w:val="TOC2"/>
            <w:ind w:right="-567"/>
            <w:rPr>
              <w:rFonts w:ascii="Arial" w:eastAsiaTheme="minorEastAsia" w:hAnsi="Arial" w:cs="Arial"/>
              <w:noProof/>
              <w:kern w:val="2"/>
              <w:sz w:val="22"/>
              <w:szCs w:val="22"/>
            </w:rPr>
          </w:pPr>
          <w:hyperlink w:anchor="_Toc199755656" w:history="1">
            <w:r w:rsidRPr="004F5362">
              <w:rPr>
                <w:rStyle w:val="Hyperlink"/>
                <w:rFonts w:ascii="Arial" w:eastAsiaTheme="minorHAnsi" w:hAnsi="Arial" w:cs="Arial"/>
                <w:noProof/>
                <w:sz w:val="22"/>
                <w:szCs w:val="22"/>
                <w:lang w:eastAsia="en-US"/>
              </w:rPr>
              <w:t>8.</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Female and Male Body Mass Index (BMI)</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_Toc199755656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6</w:t>
            </w:r>
            <w:r w:rsidRPr="004F5362">
              <w:rPr>
                <w:rFonts w:ascii="Arial" w:hAnsi="Arial" w:cs="Arial"/>
                <w:noProof/>
                <w:webHidden/>
                <w:sz w:val="22"/>
                <w:szCs w:val="22"/>
              </w:rPr>
              <w:fldChar w:fldCharType="end"/>
            </w:r>
          </w:hyperlink>
        </w:p>
        <w:p w14:paraId="5D546FBB" w14:textId="25289B38" w:rsidR="004F5362" w:rsidRPr="004F5362" w:rsidRDefault="004F5362" w:rsidP="004F5362">
          <w:pPr>
            <w:pStyle w:val="TOC2"/>
            <w:ind w:right="-567"/>
            <w:rPr>
              <w:rFonts w:ascii="Arial" w:eastAsiaTheme="minorEastAsia" w:hAnsi="Arial" w:cs="Arial"/>
              <w:noProof/>
              <w:kern w:val="2"/>
              <w:sz w:val="22"/>
              <w:szCs w:val="22"/>
            </w:rPr>
          </w:pPr>
          <w:hyperlink w:anchor="_Toc199755657" w:history="1">
            <w:r w:rsidRPr="004F5362">
              <w:rPr>
                <w:rStyle w:val="Hyperlink"/>
                <w:rFonts w:ascii="Arial" w:eastAsiaTheme="minorHAnsi" w:hAnsi="Arial" w:cs="Arial"/>
                <w:noProof/>
                <w:sz w:val="22"/>
                <w:szCs w:val="22"/>
                <w:lang w:eastAsia="en-US"/>
              </w:rPr>
              <w:t>9.</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Female and Male Smoking Status</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_Toc199755657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6</w:t>
            </w:r>
            <w:r w:rsidRPr="004F5362">
              <w:rPr>
                <w:rFonts w:ascii="Arial" w:hAnsi="Arial" w:cs="Arial"/>
                <w:noProof/>
                <w:webHidden/>
                <w:sz w:val="22"/>
                <w:szCs w:val="22"/>
              </w:rPr>
              <w:fldChar w:fldCharType="end"/>
            </w:r>
          </w:hyperlink>
        </w:p>
        <w:p w14:paraId="0B4F41FD" w14:textId="37542FF8" w:rsidR="004F5362" w:rsidRPr="004F5362" w:rsidRDefault="004F5362" w:rsidP="004F5362">
          <w:pPr>
            <w:pStyle w:val="TOC2"/>
            <w:ind w:right="-567"/>
            <w:rPr>
              <w:rFonts w:ascii="Arial" w:eastAsiaTheme="minorEastAsia" w:hAnsi="Arial" w:cs="Arial"/>
              <w:noProof/>
              <w:kern w:val="2"/>
              <w:sz w:val="22"/>
              <w:szCs w:val="22"/>
            </w:rPr>
          </w:pPr>
          <w:hyperlink w:anchor="_Toc199755658" w:history="1">
            <w:r w:rsidRPr="004F5362">
              <w:rPr>
                <w:rStyle w:val="Hyperlink"/>
                <w:rFonts w:ascii="Arial" w:eastAsiaTheme="minorHAnsi" w:hAnsi="Arial" w:cs="Arial"/>
                <w:noProof/>
                <w:sz w:val="22"/>
                <w:szCs w:val="22"/>
                <w:lang w:eastAsia="en-US"/>
              </w:rPr>
              <w:t>10.</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Female and Male Drugs and Alcohol intake</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_Toc199755658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6</w:t>
            </w:r>
            <w:r w:rsidRPr="004F5362">
              <w:rPr>
                <w:rFonts w:ascii="Arial" w:hAnsi="Arial" w:cs="Arial"/>
                <w:noProof/>
                <w:webHidden/>
                <w:sz w:val="22"/>
                <w:szCs w:val="22"/>
              </w:rPr>
              <w:fldChar w:fldCharType="end"/>
            </w:r>
          </w:hyperlink>
        </w:p>
        <w:p w14:paraId="7AA32D58" w14:textId="4651AB7C" w:rsidR="004F5362" w:rsidRPr="004F5362" w:rsidRDefault="004F5362" w:rsidP="004F5362">
          <w:pPr>
            <w:pStyle w:val="TOC1"/>
            <w:ind w:right="-567"/>
            <w:rPr>
              <w:rStyle w:val="Hyperlink"/>
            </w:rPr>
          </w:pPr>
          <w:hyperlink w:anchor="_Toc199755659" w:history="1">
            <w:r w:rsidRPr="004F5362">
              <w:rPr>
                <w:rStyle w:val="Hyperlink"/>
              </w:rPr>
              <w:t>Treatment Options</w:t>
            </w:r>
            <w:r w:rsidRPr="004F5362">
              <w:rPr>
                <w:rStyle w:val="Hyperlink"/>
                <w:webHidden/>
              </w:rPr>
              <w:tab/>
            </w:r>
            <w:r w:rsidRPr="004F5362">
              <w:rPr>
                <w:rStyle w:val="Hyperlink"/>
                <w:webHidden/>
              </w:rPr>
              <w:fldChar w:fldCharType="begin"/>
            </w:r>
            <w:r w:rsidRPr="004F5362">
              <w:rPr>
                <w:rStyle w:val="Hyperlink"/>
                <w:webHidden/>
              </w:rPr>
              <w:instrText xml:space="preserve"> PAGEREF _Toc199755659 \h </w:instrText>
            </w:r>
            <w:r w:rsidRPr="004F5362">
              <w:rPr>
                <w:rStyle w:val="Hyperlink"/>
                <w:webHidden/>
              </w:rPr>
            </w:r>
            <w:r w:rsidRPr="004F5362">
              <w:rPr>
                <w:rStyle w:val="Hyperlink"/>
                <w:webHidden/>
              </w:rPr>
              <w:fldChar w:fldCharType="separate"/>
            </w:r>
            <w:r w:rsidRPr="004F5362">
              <w:rPr>
                <w:rStyle w:val="Hyperlink"/>
                <w:webHidden/>
              </w:rPr>
              <w:t>7</w:t>
            </w:r>
            <w:r w:rsidRPr="004F5362">
              <w:rPr>
                <w:rStyle w:val="Hyperlink"/>
                <w:webHidden/>
              </w:rPr>
              <w:fldChar w:fldCharType="end"/>
            </w:r>
          </w:hyperlink>
        </w:p>
        <w:p w14:paraId="610F9023" w14:textId="5BF417E6" w:rsidR="004F5362" w:rsidRPr="004F5362" w:rsidRDefault="004F5362" w:rsidP="004F5362">
          <w:pPr>
            <w:pStyle w:val="TOC2"/>
            <w:ind w:right="-567"/>
            <w:rPr>
              <w:rFonts w:ascii="Arial" w:eastAsiaTheme="minorEastAsia" w:hAnsi="Arial" w:cs="Arial"/>
              <w:noProof/>
              <w:kern w:val="2"/>
              <w:sz w:val="22"/>
              <w:szCs w:val="22"/>
            </w:rPr>
          </w:pPr>
          <w:hyperlink w:anchor="_Toc199755660" w:history="1">
            <w:r w:rsidRPr="004F5362">
              <w:rPr>
                <w:rStyle w:val="Hyperlink"/>
                <w:rFonts w:ascii="Arial" w:eastAsiaTheme="minorHAnsi" w:hAnsi="Arial" w:cs="Arial"/>
                <w:noProof/>
                <w:sz w:val="22"/>
                <w:szCs w:val="22"/>
                <w:lang w:eastAsia="en-US"/>
              </w:rPr>
              <w:t>11.</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Intra-uterine Insemination (IUI)/Donor Insemination (DI) and Intra-cytoplasmic sperm injections (ICSI)</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_Toc199755660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7</w:t>
            </w:r>
            <w:r w:rsidRPr="004F5362">
              <w:rPr>
                <w:rFonts w:ascii="Arial" w:hAnsi="Arial" w:cs="Arial"/>
                <w:noProof/>
                <w:webHidden/>
                <w:sz w:val="22"/>
                <w:szCs w:val="22"/>
              </w:rPr>
              <w:fldChar w:fldCharType="end"/>
            </w:r>
          </w:hyperlink>
        </w:p>
        <w:p w14:paraId="2D1982A1" w14:textId="3C7CE421" w:rsidR="004F5362" w:rsidRPr="004F5362" w:rsidRDefault="004F5362" w:rsidP="004F5362">
          <w:pPr>
            <w:pStyle w:val="TOC2"/>
            <w:ind w:right="-567"/>
            <w:rPr>
              <w:rFonts w:ascii="Arial" w:eastAsiaTheme="minorEastAsia" w:hAnsi="Arial" w:cs="Arial"/>
              <w:noProof/>
              <w:kern w:val="2"/>
              <w:sz w:val="22"/>
              <w:szCs w:val="22"/>
            </w:rPr>
          </w:pPr>
          <w:hyperlink w:anchor="_Toc199755661" w:history="1">
            <w:r w:rsidRPr="004F5362">
              <w:rPr>
                <w:rStyle w:val="Hyperlink"/>
                <w:rFonts w:ascii="Arial" w:eastAsiaTheme="minorHAnsi" w:hAnsi="Arial" w:cs="Arial"/>
                <w:noProof/>
                <w:sz w:val="22"/>
                <w:szCs w:val="22"/>
                <w:lang w:eastAsia="en-US"/>
              </w:rPr>
              <w:t>12.</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IVF</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_Toc199755661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8</w:t>
            </w:r>
            <w:r w:rsidRPr="004F5362">
              <w:rPr>
                <w:rFonts w:ascii="Arial" w:hAnsi="Arial" w:cs="Arial"/>
                <w:noProof/>
                <w:webHidden/>
                <w:sz w:val="22"/>
                <w:szCs w:val="22"/>
              </w:rPr>
              <w:fldChar w:fldCharType="end"/>
            </w:r>
          </w:hyperlink>
        </w:p>
        <w:p w14:paraId="46B53441" w14:textId="04B067F7" w:rsidR="004F5362" w:rsidRPr="004F5362" w:rsidRDefault="004F5362" w:rsidP="004F5362">
          <w:pPr>
            <w:pStyle w:val="TOC3"/>
            <w:ind w:right="-567"/>
            <w:rPr>
              <w:rFonts w:ascii="Arial" w:eastAsiaTheme="minorEastAsia" w:hAnsi="Arial" w:cs="Arial"/>
              <w:noProof/>
              <w:kern w:val="2"/>
              <w:sz w:val="22"/>
              <w:szCs w:val="22"/>
            </w:rPr>
          </w:pPr>
          <w:hyperlink w:anchor="_Toc199755662" w:history="1">
            <w:r w:rsidRPr="004F5362">
              <w:rPr>
                <w:rStyle w:val="Hyperlink"/>
                <w:rFonts w:ascii="Arial" w:eastAsiaTheme="minorHAnsi" w:hAnsi="Arial" w:cs="Arial"/>
                <w:noProof/>
                <w:sz w:val="22"/>
                <w:szCs w:val="22"/>
                <w:lang w:eastAsia="en-US"/>
              </w:rPr>
              <w:t>Definition</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_Toc199755662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8</w:t>
            </w:r>
            <w:r w:rsidRPr="004F5362">
              <w:rPr>
                <w:rFonts w:ascii="Arial" w:hAnsi="Arial" w:cs="Arial"/>
                <w:noProof/>
                <w:webHidden/>
                <w:sz w:val="22"/>
                <w:szCs w:val="22"/>
              </w:rPr>
              <w:fldChar w:fldCharType="end"/>
            </w:r>
          </w:hyperlink>
        </w:p>
        <w:p w14:paraId="30A26C51" w14:textId="40F03CA6" w:rsidR="004F5362" w:rsidRPr="004F5362" w:rsidRDefault="004F5362" w:rsidP="004F5362">
          <w:pPr>
            <w:pStyle w:val="TOC3"/>
            <w:ind w:right="-567"/>
            <w:rPr>
              <w:rFonts w:ascii="Arial" w:eastAsiaTheme="minorEastAsia" w:hAnsi="Arial" w:cs="Arial"/>
              <w:noProof/>
              <w:kern w:val="2"/>
              <w:sz w:val="22"/>
              <w:szCs w:val="22"/>
            </w:rPr>
          </w:pPr>
          <w:hyperlink w:anchor="_Toc199755663" w:history="1">
            <w:r w:rsidRPr="004F5362">
              <w:rPr>
                <w:rStyle w:val="Hyperlink"/>
                <w:rFonts w:ascii="Arial" w:eastAsiaTheme="minorHAnsi" w:hAnsi="Arial" w:cs="Arial"/>
                <w:noProof/>
                <w:sz w:val="22"/>
                <w:szCs w:val="22"/>
                <w:lang w:eastAsia="en-US"/>
              </w:rPr>
              <w:t>Number of Cycles</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_Toc199755663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8</w:t>
            </w:r>
            <w:r w:rsidRPr="004F5362">
              <w:rPr>
                <w:rFonts w:ascii="Arial" w:hAnsi="Arial" w:cs="Arial"/>
                <w:noProof/>
                <w:webHidden/>
                <w:sz w:val="22"/>
                <w:szCs w:val="22"/>
              </w:rPr>
              <w:fldChar w:fldCharType="end"/>
            </w:r>
          </w:hyperlink>
        </w:p>
        <w:p w14:paraId="62223CEF" w14:textId="6161CBA9" w:rsidR="004F5362" w:rsidRPr="004F5362" w:rsidRDefault="004F5362" w:rsidP="004F5362">
          <w:pPr>
            <w:pStyle w:val="TOC3"/>
            <w:ind w:right="-567"/>
            <w:rPr>
              <w:rFonts w:ascii="Arial" w:eastAsiaTheme="minorEastAsia" w:hAnsi="Arial" w:cs="Arial"/>
              <w:noProof/>
              <w:kern w:val="2"/>
              <w:sz w:val="22"/>
              <w:szCs w:val="22"/>
            </w:rPr>
          </w:pPr>
          <w:hyperlink w:anchor="_Toc199755664" w:history="1">
            <w:r w:rsidRPr="004F5362">
              <w:rPr>
                <w:rStyle w:val="Hyperlink"/>
                <w:rFonts w:ascii="Arial" w:eastAsiaTheme="minorHAnsi" w:hAnsi="Arial" w:cs="Arial"/>
                <w:noProof/>
                <w:sz w:val="22"/>
                <w:szCs w:val="22"/>
                <w:lang w:eastAsia="en-US"/>
              </w:rPr>
              <w:t>Ovarian reserve testing</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_Toc199755664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8</w:t>
            </w:r>
            <w:r w:rsidRPr="004F5362">
              <w:rPr>
                <w:rFonts w:ascii="Arial" w:hAnsi="Arial" w:cs="Arial"/>
                <w:noProof/>
                <w:webHidden/>
                <w:sz w:val="22"/>
                <w:szCs w:val="22"/>
              </w:rPr>
              <w:fldChar w:fldCharType="end"/>
            </w:r>
          </w:hyperlink>
        </w:p>
        <w:p w14:paraId="56889109" w14:textId="737D3CC5" w:rsidR="004F5362" w:rsidRPr="004F5362" w:rsidRDefault="004F5362" w:rsidP="004F5362">
          <w:pPr>
            <w:pStyle w:val="TOC3"/>
            <w:ind w:right="-567"/>
            <w:rPr>
              <w:rFonts w:ascii="Arial" w:eastAsiaTheme="minorEastAsia" w:hAnsi="Arial" w:cs="Arial"/>
              <w:noProof/>
              <w:kern w:val="2"/>
              <w:sz w:val="22"/>
              <w:szCs w:val="22"/>
            </w:rPr>
          </w:pPr>
          <w:hyperlink w:anchor="_Toc199755665" w:history="1">
            <w:r w:rsidRPr="004F5362">
              <w:rPr>
                <w:rStyle w:val="Hyperlink"/>
                <w:rFonts w:ascii="Arial" w:eastAsiaTheme="minorHAnsi" w:hAnsi="Arial" w:cs="Arial"/>
                <w:noProof/>
                <w:sz w:val="22"/>
                <w:szCs w:val="22"/>
                <w:lang w:eastAsia="en-US"/>
              </w:rPr>
              <w:t>Number of Transferred Embryos</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_Toc199755665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9</w:t>
            </w:r>
            <w:r w:rsidRPr="004F5362">
              <w:rPr>
                <w:rFonts w:ascii="Arial" w:hAnsi="Arial" w:cs="Arial"/>
                <w:noProof/>
                <w:webHidden/>
                <w:sz w:val="22"/>
                <w:szCs w:val="22"/>
              </w:rPr>
              <w:fldChar w:fldCharType="end"/>
            </w:r>
          </w:hyperlink>
        </w:p>
        <w:p w14:paraId="5030FBE8" w14:textId="489D2F04" w:rsidR="004F5362" w:rsidRPr="004F5362" w:rsidRDefault="004F5362" w:rsidP="004F5362">
          <w:pPr>
            <w:pStyle w:val="TOC2"/>
            <w:ind w:right="-567"/>
            <w:rPr>
              <w:rFonts w:ascii="Arial" w:eastAsiaTheme="minorEastAsia" w:hAnsi="Arial" w:cs="Arial"/>
              <w:noProof/>
              <w:kern w:val="2"/>
              <w:sz w:val="22"/>
              <w:szCs w:val="22"/>
            </w:rPr>
          </w:pPr>
          <w:hyperlink w:anchor="_Toc199755666" w:history="1">
            <w:r w:rsidRPr="004F5362">
              <w:rPr>
                <w:rStyle w:val="Hyperlink"/>
                <w:rFonts w:ascii="Arial" w:eastAsiaTheme="minorHAnsi" w:hAnsi="Arial" w:cs="Arial"/>
                <w:noProof/>
                <w:sz w:val="22"/>
                <w:szCs w:val="22"/>
                <w:lang w:eastAsia="en-US"/>
              </w:rPr>
              <w:t>13.</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Surrogacy</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_Toc199755666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9</w:t>
            </w:r>
            <w:r w:rsidRPr="004F5362">
              <w:rPr>
                <w:rFonts w:ascii="Arial" w:hAnsi="Arial" w:cs="Arial"/>
                <w:noProof/>
                <w:webHidden/>
                <w:sz w:val="22"/>
                <w:szCs w:val="22"/>
              </w:rPr>
              <w:fldChar w:fldCharType="end"/>
            </w:r>
          </w:hyperlink>
        </w:p>
        <w:p w14:paraId="023CD3DE" w14:textId="116A4C6D" w:rsidR="004F5362" w:rsidRPr="004F5362" w:rsidRDefault="004F5362" w:rsidP="004F5362">
          <w:pPr>
            <w:pStyle w:val="TOC2"/>
            <w:ind w:right="-567"/>
            <w:rPr>
              <w:rFonts w:ascii="Arial" w:eastAsiaTheme="minorEastAsia" w:hAnsi="Arial" w:cs="Arial"/>
              <w:noProof/>
              <w:kern w:val="2"/>
              <w:sz w:val="22"/>
              <w:szCs w:val="22"/>
            </w:rPr>
          </w:pPr>
          <w:hyperlink w:anchor="_Toc199755667" w:history="1">
            <w:r w:rsidRPr="004F5362">
              <w:rPr>
                <w:rStyle w:val="Hyperlink"/>
                <w:rFonts w:ascii="Arial" w:eastAsiaTheme="minorHAnsi" w:hAnsi="Arial" w:cs="Arial"/>
                <w:noProof/>
                <w:sz w:val="22"/>
                <w:szCs w:val="22"/>
                <w:lang w:eastAsia="en-US"/>
              </w:rPr>
              <w:t>14.</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Reversal of Sterilisation</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_Toc199755667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9</w:t>
            </w:r>
            <w:r w:rsidRPr="004F5362">
              <w:rPr>
                <w:rFonts w:ascii="Arial" w:hAnsi="Arial" w:cs="Arial"/>
                <w:noProof/>
                <w:webHidden/>
                <w:sz w:val="22"/>
                <w:szCs w:val="22"/>
              </w:rPr>
              <w:fldChar w:fldCharType="end"/>
            </w:r>
          </w:hyperlink>
        </w:p>
        <w:p w14:paraId="7298A44B" w14:textId="044AF90A" w:rsidR="004F5362" w:rsidRPr="004F5362" w:rsidRDefault="004F5362" w:rsidP="004F5362">
          <w:pPr>
            <w:pStyle w:val="TOC2"/>
            <w:ind w:right="-567"/>
            <w:rPr>
              <w:rFonts w:ascii="Arial" w:eastAsiaTheme="minorEastAsia" w:hAnsi="Arial" w:cs="Arial"/>
              <w:noProof/>
              <w:kern w:val="2"/>
              <w:sz w:val="22"/>
              <w:szCs w:val="22"/>
            </w:rPr>
          </w:pPr>
          <w:hyperlink w:anchor="_Toc199755668" w:history="1">
            <w:r w:rsidRPr="004F5362">
              <w:rPr>
                <w:rStyle w:val="Hyperlink"/>
                <w:rFonts w:ascii="Arial" w:eastAsiaTheme="minorHAnsi" w:hAnsi="Arial" w:cs="Arial"/>
                <w:noProof/>
                <w:sz w:val="22"/>
                <w:szCs w:val="22"/>
                <w:lang w:eastAsia="en-US"/>
              </w:rPr>
              <w:t>15.</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Surgical retrieval of sperm</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_Toc199755668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10</w:t>
            </w:r>
            <w:r w:rsidRPr="004F5362">
              <w:rPr>
                <w:rFonts w:ascii="Arial" w:hAnsi="Arial" w:cs="Arial"/>
                <w:noProof/>
                <w:webHidden/>
                <w:sz w:val="22"/>
                <w:szCs w:val="22"/>
              </w:rPr>
              <w:fldChar w:fldCharType="end"/>
            </w:r>
          </w:hyperlink>
        </w:p>
        <w:p w14:paraId="64E3B760" w14:textId="360177FD" w:rsidR="004F5362" w:rsidRPr="004F5362" w:rsidRDefault="004F5362" w:rsidP="004F5362">
          <w:pPr>
            <w:pStyle w:val="TOC2"/>
            <w:ind w:right="-567"/>
            <w:rPr>
              <w:rFonts w:ascii="Arial" w:eastAsiaTheme="minorEastAsia" w:hAnsi="Arial" w:cs="Arial"/>
              <w:noProof/>
              <w:kern w:val="2"/>
              <w:sz w:val="22"/>
              <w:szCs w:val="22"/>
            </w:rPr>
          </w:pPr>
          <w:hyperlink w:anchor="_Toc199755669" w:history="1">
            <w:r w:rsidRPr="004F5362">
              <w:rPr>
                <w:rStyle w:val="Hyperlink"/>
                <w:rFonts w:ascii="Arial" w:eastAsiaTheme="minorHAnsi" w:hAnsi="Arial" w:cs="Arial"/>
                <w:noProof/>
                <w:sz w:val="22"/>
                <w:szCs w:val="22"/>
                <w:lang w:eastAsia="en-US"/>
              </w:rPr>
              <w:t>16.</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Oocyte (egg) donation and sharing and embryo donation</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_Toc199755669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10</w:t>
            </w:r>
            <w:r w:rsidRPr="004F5362">
              <w:rPr>
                <w:rFonts w:ascii="Arial" w:hAnsi="Arial" w:cs="Arial"/>
                <w:noProof/>
                <w:webHidden/>
                <w:sz w:val="22"/>
                <w:szCs w:val="22"/>
              </w:rPr>
              <w:fldChar w:fldCharType="end"/>
            </w:r>
          </w:hyperlink>
        </w:p>
        <w:p w14:paraId="0EFEBE76" w14:textId="5907B247" w:rsidR="004F5362" w:rsidRPr="004F5362" w:rsidRDefault="004F5362" w:rsidP="004F5362">
          <w:pPr>
            <w:pStyle w:val="TOC2"/>
            <w:ind w:right="-567"/>
            <w:rPr>
              <w:rFonts w:ascii="Arial" w:eastAsiaTheme="minorEastAsia" w:hAnsi="Arial" w:cs="Arial"/>
              <w:noProof/>
              <w:kern w:val="2"/>
              <w:sz w:val="22"/>
              <w:szCs w:val="22"/>
            </w:rPr>
          </w:pPr>
          <w:hyperlink w:anchor="_Toc199755670" w:history="1">
            <w:r w:rsidRPr="004F5362">
              <w:rPr>
                <w:rStyle w:val="Hyperlink"/>
                <w:rFonts w:ascii="Arial" w:eastAsiaTheme="minorHAnsi" w:hAnsi="Arial" w:cs="Arial"/>
                <w:noProof/>
                <w:sz w:val="22"/>
                <w:szCs w:val="22"/>
                <w:lang w:eastAsia="en-US"/>
              </w:rPr>
              <w:t>17.</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Storage and cryopreservation of embryos, oocytes (eggs) and semen</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_Toc199755670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10</w:t>
            </w:r>
            <w:r w:rsidRPr="004F5362">
              <w:rPr>
                <w:rFonts w:ascii="Arial" w:hAnsi="Arial" w:cs="Arial"/>
                <w:noProof/>
                <w:webHidden/>
                <w:sz w:val="22"/>
                <w:szCs w:val="22"/>
              </w:rPr>
              <w:fldChar w:fldCharType="end"/>
            </w:r>
          </w:hyperlink>
        </w:p>
        <w:p w14:paraId="5DDD6D83" w14:textId="19EE82BE" w:rsidR="004F5362" w:rsidRPr="004F5362" w:rsidRDefault="004F5362" w:rsidP="004F5362">
          <w:pPr>
            <w:pStyle w:val="TOC3"/>
            <w:ind w:right="-567"/>
            <w:rPr>
              <w:rFonts w:ascii="Arial" w:eastAsiaTheme="minorEastAsia" w:hAnsi="Arial" w:cs="Arial"/>
              <w:noProof/>
              <w:kern w:val="2"/>
              <w:sz w:val="22"/>
              <w:szCs w:val="22"/>
            </w:rPr>
          </w:pPr>
          <w:hyperlink w:anchor="_Toc199755671" w:history="1">
            <w:r w:rsidRPr="004F5362">
              <w:rPr>
                <w:rStyle w:val="Hyperlink"/>
                <w:rFonts w:ascii="Arial" w:eastAsiaTheme="minorHAnsi" w:hAnsi="Arial" w:cs="Arial"/>
                <w:noProof/>
                <w:sz w:val="22"/>
                <w:szCs w:val="22"/>
                <w:lang w:eastAsia="en-US"/>
              </w:rPr>
              <w:t>Fertility Preservation before treatment for cancer (or other procedures which affect fertility)</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_Toc199755671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10</w:t>
            </w:r>
            <w:r w:rsidRPr="004F5362">
              <w:rPr>
                <w:rFonts w:ascii="Arial" w:hAnsi="Arial" w:cs="Arial"/>
                <w:noProof/>
                <w:webHidden/>
                <w:sz w:val="22"/>
                <w:szCs w:val="22"/>
              </w:rPr>
              <w:fldChar w:fldCharType="end"/>
            </w:r>
          </w:hyperlink>
        </w:p>
        <w:p w14:paraId="12BF20B8" w14:textId="7E0D66D9" w:rsidR="004F5362" w:rsidRPr="004F5362" w:rsidRDefault="004F5362" w:rsidP="004F5362">
          <w:pPr>
            <w:pStyle w:val="TOC3"/>
            <w:ind w:right="-567"/>
            <w:rPr>
              <w:rFonts w:ascii="Arial" w:eastAsiaTheme="minorEastAsia" w:hAnsi="Arial" w:cs="Arial"/>
              <w:noProof/>
              <w:kern w:val="2"/>
              <w:sz w:val="22"/>
              <w:szCs w:val="22"/>
            </w:rPr>
          </w:pPr>
          <w:hyperlink w:anchor="_Toc199755672" w:history="1">
            <w:r w:rsidRPr="004F5362">
              <w:rPr>
                <w:rStyle w:val="Hyperlink"/>
                <w:rFonts w:ascii="Arial" w:eastAsiaTheme="minorHAnsi" w:hAnsi="Arial" w:cs="Arial"/>
                <w:noProof/>
                <w:sz w:val="22"/>
                <w:szCs w:val="22"/>
                <w:lang w:eastAsia="en-US"/>
              </w:rPr>
              <w:t>Following a live birth</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_Toc199755672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11</w:t>
            </w:r>
            <w:r w:rsidRPr="004F5362">
              <w:rPr>
                <w:rFonts w:ascii="Arial" w:hAnsi="Arial" w:cs="Arial"/>
                <w:noProof/>
                <w:webHidden/>
                <w:sz w:val="22"/>
                <w:szCs w:val="22"/>
              </w:rPr>
              <w:fldChar w:fldCharType="end"/>
            </w:r>
          </w:hyperlink>
        </w:p>
        <w:p w14:paraId="4956FC6C" w14:textId="154A72DA" w:rsidR="004F5362" w:rsidRPr="004F5362" w:rsidRDefault="004F5362" w:rsidP="004F5362">
          <w:pPr>
            <w:pStyle w:val="TOC2"/>
            <w:ind w:right="-567"/>
            <w:rPr>
              <w:rFonts w:ascii="Arial" w:eastAsiaTheme="minorEastAsia" w:hAnsi="Arial" w:cs="Arial"/>
              <w:noProof/>
              <w:kern w:val="2"/>
              <w:sz w:val="22"/>
              <w:szCs w:val="22"/>
            </w:rPr>
          </w:pPr>
          <w:hyperlink w:anchor="_Toc199755673" w:history="1">
            <w:r w:rsidRPr="004F5362">
              <w:rPr>
                <w:rStyle w:val="Hyperlink"/>
                <w:rFonts w:ascii="Arial" w:eastAsiaTheme="minorHAnsi" w:hAnsi="Arial" w:cs="Arial"/>
                <w:noProof/>
                <w:sz w:val="22"/>
                <w:szCs w:val="22"/>
                <w:lang w:eastAsia="en-US"/>
              </w:rPr>
              <w:t>18.</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Storage of Ovarian Tissue</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_Toc199755673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11</w:t>
            </w:r>
            <w:r w:rsidRPr="004F5362">
              <w:rPr>
                <w:rFonts w:ascii="Arial" w:hAnsi="Arial" w:cs="Arial"/>
                <w:noProof/>
                <w:webHidden/>
                <w:sz w:val="22"/>
                <w:szCs w:val="22"/>
              </w:rPr>
              <w:fldChar w:fldCharType="end"/>
            </w:r>
          </w:hyperlink>
        </w:p>
        <w:p w14:paraId="291EA350" w14:textId="000A56C5" w:rsidR="004F5362" w:rsidRPr="004F5362" w:rsidRDefault="004F5362" w:rsidP="004F5362">
          <w:pPr>
            <w:pStyle w:val="TOC2"/>
            <w:ind w:right="-567"/>
            <w:rPr>
              <w:rFonts w:ascii="Arial" w:eastAsiaTheme="minorEastAsia" w:hAnsi="Arial" w:cs="Arial"/>
              <w:noProof/>
              <w:kern w:val="2"/>
              <w:sz w:val="22"/>
              <w:szCs w:val="22"/>
            </w:rPr>
          </w:pPr>
          <w:hyperlink w:anchor="_Toc199755674" w:history="1">
            <w:r w:rsidRPr="004F5362">
              <w:rPr>
                <w:rStyle w:val="Hyperlink"/>
                <w:rFonts w:ascii="Arial" w:eastAsiaTheme="minorHAnsi" w:hAnsi="Arial" w:cs="Arial"/>
                <w:noProof/>
                <w:sz w:val="22"/>
                <w:szCs w:val="22"/>
                <w:lang w:eastAsia="en-US"/>
              </w:rPr>
              <w:t>19.</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Pre-Implantation Genetic Diagnosis (PGD)</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_Toc199755674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11</w:t>
            </w:r>
            <w:r w:rsidRPr="004F5362">
              <w:rPr>
                <w:rFonts w:ascii="Arial" w:hAnsi="Arial" w:cs="Arial"/>
                <w:noProof/>
                <w:webHidden/>
                <w:sz w:val="22"/>
                <w:szCs w:val="22"/>
              </w:rPr>
              <w:fldChar w:fldCharType="end"/>
            </w:r>
          </w:hyperlink>
        </w:p>
        <w:p w14:paraId="176BF301" w14:textId="3B93B833" w:rsidR="004F5362" w:rsidRPr="004F5362" w:rsidRDefault="004F5362" w:rsidP="004F5362">
          <w:pPr>
            <w:pStyle w:val="TOC2"/>
            <w:ind w:right="-567"/>
            <w:rPr>
              <w:rFonts w:ascii="Arial" w:eastAsiaTheme="minorEastAsia" w:hAnsi="Arial" w:cs="Arial"/>
              <w:noProof/>
              <w:kern w:val="2"/>
              <w:sz w:val="22"/>
              <w:szCs w:val="22"/>
            </w:rPr>
          </w:pPr>
          <w:hyperlink w:anchor="_Toc199755675" w:history="1">
            <w:r w:rsidRPr="004F5362">
              <w:rPr>
                <w:rStyle w:val="Hyperlink"/>
                <w:rFonts w:ascii="Arial" w:eastAsiaTheme="minorHAnsi" w:hAnsi="Arial" w:cs="Arial"/>
                <w:noProof/>
                <w:sz w:val="22"/>
                <w:szCs w:val="22"/>
                <w:lang w:eastAsia="en-US"/>
              </w:rPr>
              <w:t>20.</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Anti-Viral Transmission</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_Toc199755675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11</w:t>
            </w:r>
            <w:r w:rsidRPr="004F5362">
              <w:rPr>
                <w:rFonts w:ascii="Arial" w:hAnsi="Arial" w:cs="Arial"/>
                <w:noProof/>
                <w:webHidden/>
                <w:sz w:val="22"/>
                <w:szCs w:val="22"/>
              </w:rPr>
              <w:fldChar w:fldCharType="end"/>
            </w:r>
          </w:hyperlink>
        </w:p>
        <w:p w14:paraId="23563705" w14:textId="318209AA" w:rsidR="004F5362" w:rsidRPr="004F5362" w:rsidRDefault="004F5362" w:rsidP="004F5362">
          <w:pPr>
            <w:pStyle w:val="TOC1"/>
            <w:ind w:right="-567"/>
            <w:rPr>
              <w:rStyle w:val="Hyperlink"/>
            </w:rPr>
          </w:pPr>
          <w:hyperlink w:anchor="_Toc199755676" w:history="1">
            <w:r w:rsidRPr="004F5362">
              <w:rPr>
                <w:rStyle w:val="Hyperlink"/>
              </w:rPr>
              <w:t>Advice and Guidance</w:t>
            </w:r>
            <w:r w:rsidRPr="004F5362">
              <w:rPr>
                <w:rStyle w:val="Hyperlink"/>
                <w:webHidden/>
              </w:rPr>
              <w:tab/>
            </w:r>
            <w:r w:rsidRPr="004F5362">
              <w:rPr>
                <w:rStyle w:val="Hyperlink"/>
                <w:webHidden/>
              </w:rPr>
              <w:fldChar w:fldCharType="begin"/>
            </w:r>
            <w:r w:rsidRPr="004F5362">
              <w:rPr>
                <w:rStyle w:val="Hyperlink"/>
                <w:webHidden/>
              </w:rPr>
              <w:instrText xml:space="preserve"> PAGEREF _Toc199755676 \h </w:instrText>
            </w:r>
            <w:r w:rsidRPr="004F5362">
              <w:rPr>
                <w:rStyle w:val="Hyperlink"/>
                <w:webHidden/>
              </w:rPr>
            </w:r>
            <w:r w:rsidRPr="004F5362">
              <w:rPr>
                <w:rStyle w:val="Hyperlink"/>
                <w:webHidden/>
              </w:rPr>
              <w:fldChar w:fldCharType="separate"/>
            </w:r>
            <w:r w:rsidRPr="004F5362">
              <w:rPr>
                <w:rStyle w:val="Hyperlink"/>
                <w:webHidden/>
              </w:rPr>
              <w:t>11</w:t>
            </w:r>
            <w:r w:rsidRPr="004F5362">
              <w:rPr>
                <w:rStyle w:val="Hyperlink"/>
                <w:webHidden/>
              </w:rPr>
              <w:fldChar w:fldCharType="end"/>
            </w:r>
          </w:hyperlink>
        </w:p>
        <w:p w14:paraId="3D89837F" w14:textId="215A97DF" w:rsidR="004F5362" w:rsidRPr="004F5362" w:rsidRDefault="004F5362" w:rsidP="004F5362">
          <w:pPr>
            <w:pStyle w:val="TOC2"/>
            <w:ind w:right="-567"/>
            <w:rPr>
              <w:rFonts w:ascii="Arial" w:eastAsiaTheme="minorEastAsia" w:hAnsi="Arial" w:cs="Arial"/>
              <w:noProof/>
              <w:kern w:val="2"/>
              <w:sz w:val="22"/>
              <w:szCs w:val="22"/>
            </w:rPr>
          </w:pPr>
          <w:hyperlink w:anchor="_Toc199755677" w:history="1">
            <w:r w:rsidRPr="004F5362">
              <w:rPr>
                <w:rStyle w:val="Hyperlink"/>
                <w:rFonts w:ascii="Arial" w:eastAsiaTheme="minorHAnsi" w:hAnsi="Arial" w:cs="Arial"/>
                <w:noProof/>
                <w:sz w:val="22"/>
                <w:szCs w:val="22"/>
                <w:lang w:eastAsia="en-US"/>
              </w:rPr>
              <w:t>21.</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Aim and Objectives</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_Toc199755677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11</w:t>
            </w:r>
            <w:r w:rsidRPr="004F5362">
              <w:rPr>
                <w:rFonts w:ascii="Arial" w:hAnsi="Arial" w:cs="Arial"/>
                <w:noProof/>
                <w:webHidden/>
                <w:sz w:val="22"/>
                <w:szCs w:val="22"/>
              </w:rPr>
              <w:fldChar w:fldCharType="end"/>
            </w:r>
          </w:hyperlink>
        </w:p>
        <w:p w14:paraId="5F868051" w14:textId="6A58515C" w:rsidR="004F5362" w:rsidRPr="004F5362" w:rsidRDefault="004F5362" w:rsidP="004F5362">
          <w:pPr>
            <w:pStyle w:val="TOC2"/>
            <w:ind w:right="-567"/>
            <w:rPr>
              <w:rFonts w:ascii="Arial" w:eastAsiaTheme="minorEastAsia" w:hAnsi="Arial" w:cs="Arial"/>
              <w:noProof/>
              <w:kern w:val="2"/>
              <w:sz w:val="22"/>
              <w:szCs w:val="22"/>
            </w:rPr>
          </w:pPr>
          <w:hyperlink w:anchor="_Toc199755678" w:history="1">
            <w:r w:rsidRPr="004F5362">
              <w:rPr>
                <w:rStyle w:val="Hyperlink"/>
                <w:rFonts w:ascii="Arial" w:eastAsiaTheme="minorHAnsi" w:hAnsi="Arial" w:cs="Arial"/>
                <w:noProof/>
                <w:sz w:val="22"/>
                <w:szCs w:val="22"/>
                <w:lang w:eastAsia="en-US"/>
              </w:rPr>
              <w:t>22.</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Core Principles</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_Toc199755678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12</w:t>
            </w:r>
            <w:r w:rsidRPr="004F5362">
              <w:rPr>
                <w:rFonts w:ascii="Arial" w:hAnsi="Arial" w:cs="Arial"/>
                <w:noProof/>
                <w:webHidden/>
                <w:sz w:val="22"/>
                <w:szCs w:val="22"/>
              </w:rPr>
              <w:fldChar w:fldCharType="end"/>
            </w:r>
          </w:hyperlink>
        </w:p>
        <w:p w14:paraId="45F593D1" w14:textId="6B224D14" w:rsidR="004F5362" w:rsidRPr="004F5362" w:rsidRDefault="004F5362" w:rsidP="004F5362">
          <w:pPr>
            <w:pStyle w:val="TOC2"/>
            <w:ind w:right="-567"/>
            <w:rPr>
              <w:rFonts w:ascii="Arial" w:eastAsiaTheme="minorEastAsia" w:hAnsi="Arial" w:cs="Arial"/>
              <w:noProof/>
              <w:kern w:val="2"/>
              <w:sz w:val="22"/>
              <w:szCs w:val="22"/>
            </w:rPr>
          </w:pPr>
          <w:hyperlink w:anchor="_Toc199755679" w:history="1">
            <w:r w:rsidRPr="004F5362">
              <w:rPr>
                <w:rStyle w:val="Hyperlink"/>
                <w:rFonts w:ascii="Arial" w:eastAsiaTheme="minorHAnsi" w:hAnsi="Arial" w:cs="Arial"/>
                <w:noProof/>
                <w:sz w:val="22"/>
                <w:szCs w:val="22"/>
                <w:lang w:eastAsia="en-US"/>
              </w:rPr>
              <w:t>23.</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Individual Funding Requests (Clinical Exceptionality Funding)</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_Toc199755679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12</w:t>
            </w:r>
            <w:r w:rsidRPr="004F5362">
              <w:rPr>
                <w:rFonts w:ascii="Arial" w:hAnsi="Arial" w:cs="Arial"/>
                <w:noProof/>
                <w:webHidden/>
                <w:sz w:val="22"/>
                <w:szCs w:val="22"/>
              </w:rPr>
              <w:fldChar w:fldCharType="end"/>
            </w:r>
          </w:hyperlink>
        </w:p>
        <w:p w14:paraId="7934A472" w14:textId="3E65E4C1" w:rsidR="004F5362" w:rsidRPr="004F5362" w:rsidRDefault="004F5362" w:rsidP="004F5362">
          <w:pPr>
            <w:pStyle w:val="TOC2"/>
            <w:ind w:right="-567"/>
            <w:rPr>
              <w:rFonts w:ascii="Arial" w:eastAsiaTheme="minorEastAsia" w:hAnsi="Arial" w:cs="Arial"/>
              <w:noProof/>
              <w:kern w:val="2"/>
              <w:sz w:val="22"/>
              <w:szCs w:val="22"/>
            </w:rPr>
          </w:pPr>
          <w:hyperlink w:anchor="_Toc199755680" w:history="1">
            <w:r w:rsidRPr="004F5362">
              <w:rPr>
                <w:rStyle w:val="Hyperlink"/>
                <w:rFonts w:ascii="Arial" w:eastAsiaTheme="minorHAnsi" w:hAnsi="Arial" w:cs="Arial"/>
                <w:noProof/>
                <w:sz w:val="22"/>
                <w:szCs w:val="22"/>
                <w:lang w:eastAsia="en-US"/>
              </w:rPr>
              <w:t>24.</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Monitoring and Review</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_Toc199755680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13</w:t>
            </w:r>
            <w:r w:rsidRPr="004F5362">
              <w:rPr>
                <w:rFonts w:ascii="Arial" w:hAnsi="Arial" w:cs="Arial"/>
                <w:noProof/>
                <w:webHidden/>
                <w:sz w:val="22"/>
                <w:szCs w:val="22"/>
              </w:rPr>
              <w:fldChar w:fldCharType="end"/>
            </w:r>
          </w:hyperlink>
        </w:p>
        <w:p w14:paraId="73959C5A" w14:textId="55F84E09" w:rsidR="004F5362" w:rsidRPr="004F5362" w:rsidRDefault="004F5362" w:rsidP="004F5362">
          <w:pPr>
            <w:pStyle w:val="TOC2"/>
            <w:ind w:right="-567"/>
            <w:rPr>
              <w:rFonts w:ascii="Arial" w:eastAsiaTheme="minorEastAsia" w:hAnsi="Arial" w:cs="Arial"/>
              <w:noProof/>
              <w:kern w:val="2"/>
              <w:sz w:val="22"/>
              <w:szCs w:val="22"/>
            </w:rPr>
          </w:pPr>
          <w:hyperlink w:anchor="_Toc199755681" w:history="1">
            <w:r w:rsidRPr="004F5362">
              <w:rPr>
                <w:rStyle w:val="Hyperlink"/>
                <w:rFonts w:ascii="Arial" w:eastAsiaTheme="minorHAnsi" w:hAnsi="Arial" w:cs="Arial"/>
                <w:noProof/>
                <w:sz w:val="22"/>
                <w:szCs w:val="22"/>
                <w:lang w:eastAsia="en-US"/>
              </w:rPr>
              <w:t>25.</w:t>
            </w:r>
            <w:r w:rsidRPr="004F5362">
              <w:rPr>
                <w:rFonts w:ascii="Arial" w:eastAsiaTheme="minorEastAsia" w:hAnsi="Arial" w:cs="Arial"/>
                <w:noProof/>
                <w:kern w:val="2"/>
                <w:sz w:val="22"/>
                <w:szCs w:val="22"/>
              </w:rPr>
              <w:tab/>
            </w:r>
            <w:r w:rsidRPr="004F5362">
              <w:rPr>
                <w:rStyle w:val="Hyperlink"/>
                <w:rFonts w:ascii="Arial" w:eastAsiaTheme="minorHAnsi" w:hAnsi="Arial" w:cs="Arial"/>
                <w:noProof/>
                <w:sz w:val="22"/>
                <w:szCs w:val="22"/>
                <w:lang w:eastAsia="en-US"/>
              </w:rPr>
              <w:t>Quality and Equality Analysis</w:t>
            </w:r>
            <w:r w:rsidRPr="004F5362">
              <w:rPr>
                <w:rFonts w:ascii="Arial" w:hAnsi="Arial" w:cs="Arial"/>
                <w:noProof/>
                <w:webHidden/>
                <w:sz w:val="22"/>
                <w:szCs w:val="22"/>
              </w:rPr>
              <w:tab/>
            </w:r>
            <w:r w:rsidRPr="004F5362">
              <w:rPr>
                <w:rFonts w:ascii="Arial" w:hAnsi="Arial" w:cs="Arial"/>
                <w:noProof/>
                <w:webHidden/>
                <w:sz w:val="22"/>
                <w:szCs w:val="22"/>
              </w:rPr>
              <w:fldChar w:fldCharType="begin"/>
            </w:r>
            <w:r w:rsidRPr="004F5362">
              <w:rPr>
                <w:rFonts w:ascii="Arial" w:hAnsi="Arial" w:cs="Arial"/>
                <w:noProof/>
                <w:webHidden/>
                <w:sz w:val="22"/>
                <w:szCs w:val="22"/>
              </w:rPr>
              <w:instrText xml:space="preserve"> PAGEREF _Toc199755681 \h </w:instrText>
            </w:r>
            <w:r w:rsidRPr="004F5362">
              <w:rPr>
                <w:rFonts w:ascii="Arial" w:hAnsi="Arial" w:cs="Arial"/>
                <w:noProof/>
                <w:webHidden/>
                <w:sz w:val="22"/>
                <w:szCs w:val="22"/>
              </w:rPr>
            </w:r>
            <w:r w:rsidRPr="004F5362">
              <w:rPr>
                <w:rFonts w:ascii="Arial" w:hAnsi="Arial" w:cs="Arial"/>
                <w:noProof/>
                <w:webHidden/>
                <w:sz w:val="22"/>
                <w:szCs w:val="22"/>
              </w:rPr>
              <w:fldChar w:fldCharType="separate"/>
            </w:r>
            <w:r w:rsidRPr="004F5362">
              <w:rPr>
                <w:rFonts w:ascii="Arial" w:hAnsi="Arial" w:cs="Arial"/>
                <w:noProof/>
                <w:webHidden/>
                <w:sz w:val="22"/>
                <w:szCs w:val="22"/>
              </w:rPr>
              <w:t>13</w:t>
            </w:r>
            <w:r w:rsidRPr="004F5362">
              <w:rPr>
                <w:rFonts w:ascii="Arial" w:hAnsi="Arial" w:cs="Arial"/>
                <w:noProof/>
                <w:webHidden/>
                <w:sz w:val="22"/>
                <w:szCs w:val="22"/>
              </w:rPr>
              <w:fldChar w:fldCharType="end"/>
            </w:r>
          </w:hyperlink>
        </w:p>
        <w:p w14:paraId="4D9C1B1C" w14:textId="2CAF33AB" w:rsidR="004F5362" w:rsidRPr="004F5362" w:rsidRDefault="004F5362" w:rsidP="004F5362">
          <w:pPr>
            <w:pStyle w:val="TOC1"/>
            <w:ind w:right="-567"/>
            <w:rPr>
              <w:rStyle w:val="Hyperlink"/>
            </w:rPr>
          </w:pPr>
          <w:hyperlink w:anchor="_Toc199755682" w:history="1">
            <w:r w:rsidRPr="004F5362">
              <w:rPr>
                <w:rStyle w:val="Hyperlink"/>
              </w:rPr>
              <w:t>Document Control</w:t>
            </w:r>
            <w:r w:rsidRPr="004F5362">
              <w:rPr>
                <w:rStyle w:val="Hyperlink"/>
                <w:webHidden/>
              </w:rPr>
              <w:tab/>
            </w:r>
            <w:r w:rsidRPr="004F5362">
              <w:rPr>
                <w:rStyle w:val="Hyperlink"/>
                <w:webHidden/>
              </w:rPr>
              <w:fldChar w:fldCharType="begin"/>
            </w:r>
            <w:r w:rsidRPr="004F5362">
              <w:rPr>
                <w:rStyle w:val="Hyperlink"/>
                <w:webHidden/>
              </w:rPr>
              <w:instrText xml:space="preserve"> PAGEREF _Toc199755682 \h </w:instrText>
            </w:r>
            <w:r w:rsidRPr="004F5362">
              <w:rPr>
                <w:rStyle w:val="Hyperlink"/>
                <w:webHidden/>
              </w:rPr>
            </w:r>
            <w:r w:rsidRPr="004F5362">
              <w:rPr>
                <w:rStyle w:val="Hyperlink"/>
                <w:webHidden/>
              </w:rPr>
              <w:fldChar w:fldCharType="separate"/>
            </w:r>
            <w:r w:rsidRPr="004F5362">
              <w:rPr>
                <w:rStyle w:val="Hyperlink"/>
                <w:webHidden/>
              </w:rPr>
              <w:t>14</w:t>
            </w:r>
            <w:r w:rsidRPr="004F5362">
              <w:rPr>
                <w:rStyle w:val="Hyperlink"/>
                <w:webHidden/>
              </w:rPr>
              <w:fldChar w:fldCharType="end"/>
            </w:r>
          </w:hyperlink>
        </w:p>
        <w:p w14:paraId="78C8E918" w14:textId="4F8D3A08" w:rsidR="004F5362" w:rsidRPr="004F5362" w:rsidRDefault="004F5362" w:rsidP="004F5362">
          <w:pPr>
            <w:pStyle w:val="TOC1"/>
            <w:ind w:right="-567"/>
            <w:rPr>
              <w:rStyle w:val="Hyperlink"/>
            </w:rPr>
          </w:pPr>
          <w:hyperlink w:anchor="_Toc199755683" w:history="1">
            <w:r w:rsidRPr="004F5362">
              <w:rPr>
                <w:rStyle w:val="Hyperlink"/>
              </w:rPr>
              <w:t>Version History</w:t>
            </w:r>
            <w:r w:rsidRPr="004F5362">
              <w:rPr>
                <w:rStyle w:val="Hyperlink"/>
                <w:webHidden/>
              </w:rPr>
              <w:tab/>
            </w:r>
            <w:r w:rsidRPr="004F5362">
              <w:rPr>
                <w:rStyle w:val="Hyperlink"/>
                <w:webHidden/>
              </w:rPr>
              <w:fldChar w:fldCharType="begin"/>
            </w:r>
            <w:r w:rsidRPr="004F5362">
              <w:rPr>
                <w:rStyle w:val="Hyperlink"/>
                <w:webHidden/>
              </w:rPr>
              <w:instrText xml:space="preserve"> PAGEREF _Toc199755683 \h </w:instrText>
            </w:r>
            <w:r w:rsidRPr="004F5362">
              <w:rPr>
                <w:rStyle w:val="Hyperlink"/>
                <w:webHidden/>
              </w:rPr>
            </w:r>
            <w:r w:rsidRPr="004F5362">
              <w:rPr>
                <w:rStyle w:val="Hyperlink"/>
                <w:webHidden/>
              </w:rPr>
              <w:fldChar w:fldCharType="separate"/>
            </w:r>
            <w:r w:rsidRPr="004F5362">
              <w:rPr>
                <w:rStyle w:val="Hyperlink"/>
                <w:webHidden/>
              </w:rPr>
              <w:t>15</w:t>
            </w:r>
            <w:r w:rsidRPr="004F5362">
              <w:rPr>
                <w:rStyle w:val="Hyperlink"/>
                <w:webHidden/>
              </w:rPr>
              <w:fldChar w:fldCharType="end"/>
            </w:r>
          </w:hyperlink>
        </w:p>
        <w:p w14:paraId="343C5FB7" w14:textId="4EA33B73" w:rsidR="00151D53" w:rsidRPr="00F46B53" w:rsidRDefault="00151D53" w:rsidP="004F5362">
          <w:pPr>
            <w:ind w:right="-567"/>
            <w:rPr>
              <w:rFonts w:ascii="Arial" w:hAnsi="Arial" w:cs="Arial"/>
              <w:sz w:val="22"/>
              <w:szCs w:val="22"/>
            </w:rPr>
          </w:pPr>
          <w:r w:rsidRPr="004F5362">
            <w:rPr>
              <w:rFonts w:ascii="Arial" w:hAnsi="Arial" w:cs="Arial"/>
              <w:noProof/>
              <w:sz w:val="20"/>
              <w:szCs w:val="20"/>
            </w:rPr>
            <w:fldChar w:fldCharType="end"/>
          </w:r>
        </w:p>
      </w:sdtContent>
    </w:sdt>
    <w:p w14:paraId="66F1C510" w14:textId="77777777" w:rsidR="0007665D" w:rsidRDefault="0007665D">
      <w:pPr>
        <w:spacing w:after="160" w:line="259" w:lineRule="auto"/>
        <w:rPr>
          <w:rFonts w:eastAsiaTheme="minorHAnsi" w:cs="Arial"/>
          <w:b/>
          <w:bCs/>
          <w:sz w:val="36"/>
          <w:szCs w:val="36"/>
          <w:lang w:eastAsia="en-US"/>
        </w:rPr>
      </w:pPr>
      <w:r>
        <w:rPr>
          <w:rFonts w:eastAsiaTheme="minorHAnsi" w:cs="Arial"/>
          <w:b/>
          <w:bCs/>
          <w:sz w:val="36"/>
          <w:szCs w:val="36"/>
          <w:lang w:eastAsia="en-US"/>
        </w:rPr>
        <w:br w:type="page"/>
      </w:r>
    </w:p>
    <w:p w14:paraId="2B819A5E" w14:textId="7A6A9C0E" w:rsidR="005F2E44" w:rsidRPr="00BC17D3" w:rsidRDefault="005F2E44" w:rsidP="000C46ED">
      <w:pPr>
        <w:pStyle w:val="Heading2"/>
        <w:numPr>
          <w:ilvl w:val="0"/>
          <w:numId w:val="3"/>
        </w:numPr>
        <w:ind w:left="851" w:hanging="851"/>
        <w:rPr>
          <w:rFonts w:eastAsiaTheme="minorHAnsi" w:cs="Arial"/>
          <w:b/>
          <w:bCs/>
          <w:sz w:val="36"/>
          <w:szCs w:val="36"/>
          <w:lang w:eastAsia="en-US"/>
        </w:rPr>
      </w:pPr>
      <w:bookmarkStart w:id="0" w:name="_Toc199755648"/>
      <w:r w:rsidRPr="00BC17D3">
        <w:rPr>
          <w:rFonts w:eastAsiaTheme="minorHAnsi" w:cs="Arial"/>
          <w:b/>
          <w:bCs/>
          <w:sz w:val="36"/>
          <w:szCs w:val="36"/>
          <w:lang w:eastAsia="en-US"/>
        </w:rPr>
        <w:lastRenderedPageBreak/>
        <w:t>Interim Policy Statement</w:t>
      </w:r>
      <w:bookmarkEnd w:id="0"/>
    </w:p>
    <w:p w14:paraId="260BE151" w14:textId="77777777" w:rsidR="005F2E44" w:rsidRPr="00BC17D3" w:rsidRDefault="005F2E44" w:rsidP="005F2E44">
      <w:pPr>
        <w:rPr>
          <w:rFonts w:ascii="Arial" w:hAnsi="Arial" w:cs="Arial"/>
          <w:sz w:val="22"/>
          <w:szCs w:val="22"/>
        </w:rPr>
      </w:pPr>
    </w:p>
    <w:p w14:paraId="30CF99BF" w14:textId="0FA39C6A" w:rsidR="005F2E44" w:rsidRPr="00BC17D3" w:rsidRDefault="005F2E44" w:rsidP="000C46ED">
      <w:pPr>
        <w:pStyle w:val="ListParagraph"/>
        <w:numPr>
          <w:ilvl w:val="1"/>
          <w:numId w:val="3"/>
        </w:numPr>
        <w:ind w:left="851" w:hanging="851"/>
        <w:rPr>
          <w:rFonts w:ascii="Arial" w:hAnsi="Arial" w:cs="Arial"/>
          <w:sz w:val="22"/>
          <w:szCs w:val="22"/>
        </w:rPr>
      </w:pPr>
      <w:r w:rsidRPr="00BC17D3">
        <w:rPr>
          <w:rFonts w:ascii="Arial" w:hAnsi="Arial" w:cs="Arial"/>
          <w:sz w:val="22"/>
          <w:szCs w:val="22"/>
        </w:rPr>
        <w:t xml:space="preserve">In July 2022, NHS Cheshire and Merseyside </w:t>
      </w:r>
      <w:r w:rsidR="009906D2">
        <w:rPr>
          <w:rFonts w:ascii="Arial" w:hAnsi="Arial" w:cs="Arial"/>
          <w:sz w:val="22"/>
          <w:szCs w:val="22"/>
        </w:rPr>
        <w:t>I</w:t>
      </w:r>
      <w:r w:rsidRPr="00BC17D3">
        <w:rPr>
          <w:rFonts w:ascii="Arial" w:hAnsi="Arial" w:cs="Arial"/>
          <w:sz w:val="22"/>
          <w:szCs w:val="22"/>
        </w:rPr>
        <w:t xml:space="preserve">ntegrated Care Board (ICB) replaced the existing Clinical Commissioning Groups (CCGs) and began a process to review all of the existing clinical policies in order to harmonise service provision across the region and to minimise potential inequalities. </w:t>
      </w:r>
    </w:p>
    <w:p w14:paraId="274A0C81" w14:textId="77777777" w:rsidR="005F2E44" w:rsidRPr="00BC17D3" w:rsidRDefault="005F2E44" w:rsidP="005F2E44">
      <w:pPr>
        <w:rPr>
          <w:rFonts w:ascii="Arial" w:hAnsi="Arial" w:cs="Arial"/>
          <w:sz w:val="22"/>
          <w:szCs w:val="22"/>
        </w:rPr>
      </w:pPr>
    </w:p>
    <w:p w14:paraId="5ECE7BB7" w14:textId="77777777" w:rsidR="005F2E44" w:rsidRPr="00BC17D3" w:rsidRDefault="005F2E44" w:rsidP="000C46ED">
      <w:pPr>
        <w:pStyle w:val="ListParagraph"/>
        <w:numPr>
          <w:ilvl w:val="1"/>
          <w:numId w:val="3"/>
        </w:numPr>
        <w:ind w:left="851" w:hanging="851"/>
        <w:rPr>
          <w:rFonts w:ascii="Arial" w:hAnsi="Arial" w:cs="Arial"/>
          <w:sz w:val="22"/>
          <w:szCs w:val="22"/>
        </w:rPr>
      </w:pPr>
      <w:r w:rsidRPr="00BC17D3">
        <w:rPr>
          <w:rFonts w:ascii="Arial" w:hAnsi="Arial" w:cs="Arial"/>
          <w:sz w:val="22"/>
          <w:szCs w:val="22"/>
        </w:rPr>
        <w:t>At that time, there were four “NHS funded treatment for subfertility policies” which covered the CCG areas of East Cheshire, West Cheshire, Merseyside (including Warrington) and Wirral.</w:t>
      </w:r>
    </w:p>
    <w:p w14:paraId="326D06EE" w14:textId="77777777" w:rsidR="005F2E44" w:rsidRPr="00BC17D3" w:rsidRDefault="005F2E44" w:rsidP="005F2E44">
      <w:pPr>
        <w:rPr>
          <w:rFonts w:ascii="Arial" w:hAnsi="Arial" w:cs="Arial"/>
          <w:sz w:val="22"/>
          <w:szCs w:val="22"/>
        </w:rPr>
      </w:pPr>
    </w:p>
    <w:p w14:paraId="1BAF9E12" w14:textId="77777777" w:rsidR="005F2E44" w:rsidRPr="00BC17D3" w:rsidRDefault="005F2E44" w:rsidP="000C46ED">
      <w:pPr>
        <w:pStyle w:val="ListParagraph"/>
        <w:numPr>
          <w:ilvl w:val="1"/>
          <w:numId w:val="3"/>
        </w:numPr>
        <w:ind w:left="851" w:hanging="851"/>
        <w:rPr>
          <w:rFonts w:ascii="Arial" w:hAnsi="Arial" w:cs="Arial"/>
          <w:sz w:val="22"/>
          <w:szCs w:val="22"/>
        </w:rPr>
      </w:pPr>
      <w:r w:rsidRPr="00BC17D3">
        <w:rPr>
          <w:rFonts w:ascii="Arial" w:hAnsi="Arial" w:cs="Arial"/>
          <w:sz w:val="22"/>
          <w:szCs w:val="22"/>
        </w:rPr>
        <w:t>The presentation of these policies followed the same format and although very similar, they do have some significant differences.</w:t>
      </w:r>
    </w:p>
    <w:p w14:paraId="3B4FE890" w14:textId="77777777" w:rsidR="005F2E44" w:rsidRPr="00BC17D3" w:rsidRDefault="005F2E44" w:rsidP="005F2E44">
      <w:pPr>
        <w:rPr>
          <w:rFonts w:ascii="Arial" w:hAnsi="Arial" w:cs="Arial"/>
          <w:sz w:val="22"/>
          <w:szCs w:val="22"/>
        </w:rPr>
      </w:pPr>
    </w:p>
    <w:p w14:paraId="0399B5DB" w14:textId="41B3BE18" w:rsidR="005F2E44" w:rsidRPr="00BC17D3" w:rsidRDefault="005F2E44" w:rsidP="000C46ED">
      <w:pPr>
        <w:pStyle w:val="ListParagraph"/>
        <w:numPr>
          <w:ilvl w:val="1"/>
          <w:numId w:val="3"/>
        </w:numPr>
        <w:ind w:left="851" w:hanging="851"/>
        <w:rPr>
          <w:rFonts w:ascii="Arial" w:hAnsi="Arial" w:cs="Arial"/>
          <w:sz w:val="22"/>
          <w:szCs w:val="22"/>
        </w:rPr>
      </w:pPr>
      <w:r w:rsidRPr="00BC17D3">
        <w:rPr>
          <w:rFonts w:ascii="Arial" w:hAnsi="Arial" w:cs="Arial"/>
          <w:sz w:val="22"/>
          <w:szCs w:val="22"/>
        </w:rPr>
        <w:t xml:space="preserve">Therefore, during the latter part of 2023, the ICB convened a working group (consisting of fertility experts, commissioners, clinicians </w:t>
      </w:r>
      <w:r w:rsidR="00025723" w:rsidRPr="00BC17D3">
        <w:rPr>
          <w:rFonts w:ascii="Arial" w:hAnsi="Arial" w:cs="Arial"/>
          <w:sz w:val="22"/>
          <w:szCs w:val="22"/>
        </w:rPr>
        <w:t>and</w:t>
      </w:r>
      <w:r w:rsidRPr="00BC17D3">
        <w:rPr>
          <w:rFonts w:ascii="Arial" w:hAnsi="Arial" w:cs="Arial"/>
          <w:sz w:val="22"/>
          <w:szCs w:val="22"/>
        </w:rPr>
        <w:t xml:space="preserve"> public health) to develop a single, unified assisted conception policy.</w:t>
      </w:r>
    </w:p>
    <w:p w14:paraId="3AE2485C" w14:textId="77777777" w:rsidR="005F2E44" w:rsidRPr="00BC17D3" w:rsidRDefault="005F2E44" w:rsidP="005F2E44">
      <w:pPr>
        <w:rPr>
          <w:rFonts w:ascii="Arial" w:hAnsi="Arial" w:cs="Arial"/>
          <w:sz w:val="22"/>
          <w:szCs w:val="22"/>
        </w:rPr>
      </w:pPr>
    </w:p>
    <w:p w14:paraId="15FEB4EF" w14:textId="77777777" w:rsidR="005F2E44" w:rsidRPr="00BC17D3" w:rsidRDefault="005F2E44" w:rsidP="000C46ED">
      <w:pPr>
        <w:pStyle w:val="ListParagraph"/>
        <w:numPr>
          <w:ilvl w:val="1"/>
          <w:numId w:val="3"/>
        </w:numPr>
        <w:ind w:left="851" w:hanging="851"/>
        <w:rPr>
          <w:rFonts w:ascii="Arial" w:hAnsi="Arial" w:cs="Arial"/>
          <w:sz w:val="22"/>
          <w:szCs w:val="22"/>
        </w:rPr>
      </w:pPr>
      <w:r w:rsidRPr="00BC17D3">
        <w:rPr>
          <w:rFonts w:ascii="Arial" w:hAnsi="Arial" w:cs="Arial"/>
          <w:sz w:val="22"/>
          <w:szCs w:val="22"/>
        </w:rPr>
        <w:t>The main objectives of this group were to harmonise the policy positions across the region and to maintain consistency with the current NICE clinical guideline (CG 156) on fertility problems.</w:t>
      </w:r>
    </w:p>
    <w:p w14:paraId="6770018C" w14:textId="77777777" w:rsidR="005F2E44" w:rsidRPr="00BC17D3" w:rsidRDefault="005F2E44" w:rsidP="005F2E44">
      <w:pPr>
        <w:rPr>
          <w:rFonts w:ascii="Arial" w:hAnsi="Arial" w:cs="Arial"/>
          <w:sz w:val="22"/>
          <w:szCs w:val="22"/>
        </w:rPr>
      </w:pPr>
    </w:p>
    <w:p w14:paraId="4EF85810" w14:textId="4A74FCB3" w:rsidR="005F2E44" w:rsidRPr="00BC17D3" w:rsidRDefault="005F2E44" w:rsidP="000C46ED">
      <w:pPr>
        <w:pStyle w:val="ListParagraph"/>
        <w:numPr>
          <w:ilvl w:val="1"/>
          <w:numId w:val="3"/>
        </w:numPr>
        <w:ind w:left="851" w:hanging="851"/>
        <w:rPr>
          <w:rFonts w:ascii="Arial" w:hAnsi="Arial" w:cs="Arial"/>
          <w:sz w:val="22"/>
          <w:szCs w:val="22"/>
        </w:rPr>
      </w:pPr>
      <w:r w:rsidRPr="00BC17D3">
        <w:rPr>
          <w:rFonts w:ascii="Arial" w:hAnsi="Arial" w:cs="Arial"/>
          <w:sz w:val="22"/>
          <w:szCs w:val="22"/>
        </w:rPr>
        <w:t xml:space="preserve">The working group were aware that NICE are revising CG 156 which is due for publication </w:t>
      </w:r>
      <w:r w:rsidR="00492E0C">
        <w:rPr>
          <w:rFonts w:ascii="Arial" w:hAnsi="Arial" w:cs="Arial"/>
          <w:sz w:val="22"/>
          <w:szCs w:val="22"/>
        </w:rPr>
        <w:t>in</w:t>
      </w:r>
      <w:r w:rsidR="001A5749">
        <w:rPr>
          <w:rFonts w:ascii="Arial" w:hAnsi="Arial" w:cs="Arial"/>
          <w:sz w:val="22"/>
          <w:szCs w:val="22"/>
        </w:rPr>
        <w:t xml:space="preserve"> 2025</w:t>
      </w:r>
      <w:r w:rsidRPr="00BC17D3">
        <w:rPr>
          <w:rFonts w:ascii="Arial" w:hAnsi="Arial" w:cs="Arial"/>
          <w:sz w:val="22"/>
          <w:szCs w:val="22"/>
        </w:rPr>
        <w:t>.</w:t>
      </w:r>
    </w:p>
    <w:p w14:paraId="28572F7C" w14:textId="77777777" w:rsidR="005F2E44" w:rsidRPr="00BC17D3" w:rsidRDefault="005F2E44" w:rsidP="005F2E44">
      <w:pPr>
        <w:rPr>
          <w:rFonts w:ascii="Arial" w:hAnsi="Arial" w:cs="Arial"/>
          <w:sz w:val="22"/>
          <w:szCs w:val="22"/>
        </w:rPr>
      </w:pPr>
    </w:p>
    <w:p w14:paraId="33C58170" w14:textId="77777777" w:rsidR="005F2E44" w:rsidRPr="00BC17D3" w:rsidRDefault="005F2E44" w:rsidP="000C46ED">
      <w:pPr>
        <w:pStyle w:val="ListParagraph"/>
        <w:numPr>
          <w:ilvl w:val="1"/>
          <w:numId w:val="3"/>
        </w:numPr>
        <w:ind w:left="851" w:hanging="851"/>
        <w:rPr>
          <w:rFonts w:ascii="Arial" w:hAnsi="Arial" w:cs="Arial"/>
          <w:sz w:val="22"/>
          <w:szCs w:val="22"/>
        </w:rPr>
      </w:pPr>
      <w:r w:rsidRPr="00BC17D3">
        <w:rPr>
          <w:rFonts w:ascii="Arial" w:hAnsi="Arial" w:cs="Arial"/>
          <w:sz w:val="22"/>
          <w:szCs w:val="22"/>
        </w:rPr>
        <w:t>Because this represents a major revision, the ICB will need to review its policy again following publication of the revised CG 156.</w:t>
      </w:r>
    </w:p>
    <w:p w14:paraId="3B0373EA" w14:textId="77777777" w:rsidR="005F2E44" w:rsidRPr="00BC17D3" w:rsidRDefault="005F2E44" w:rsidP="005F2E44">
      <w:pPr>
        <w:rPr>
          <w:rFonts w:ascii="Arial" w:hAnsi="Arial" w:cs="Arial"/>
          <w:sz w:val="22"/>
          <w:szCs w:val="22"/>
        </w:rPr>
      </w:pPr>
    </w:p>
    <w:p w14:paraId="0E82A3C3" w14:textId="22024FD5" w:rsidR="005F2E44" w:rsidRPr="002728F5" w:rsidRDefault="005F2E44" w:rsidP="000C46ED">
      <w:pPr>
        <w:pStyle w:val="ListParagraph"/>
        <w:numPr>
          <w:ilvl w:val="1"/>
          <w:numId w:val="3"/>
        </w:numPr>
        <w:ind w:left="851" w:hanging="851"/>
        <w:rPr>
          <w:rFonts w:ascii="Arial" w:hAnsi="Arial" w:cs="Arial"/>
          <w:color w:val="FF0000"/>
          <w:sz w:val="22"/>
          <w:szCs w:val="22"/>
        </w:rPr>
      </w:pPr>
      <w:r w:rsidRPr="00BC17D3">
        <w:rPr>
          <w:rFonts w:ascii="Arial" w:hAnsi="Arial" w:cs="Arial"/>
          <w:sz w:val="22"/>
          <w:szCs w:val="22"/>
        </w:rPr>
        <w:t xml:space="preserve">For these reasons, the newly developed ICB policy is an interim one as it will undergo </w:t>
      </w:r>
      <w:r w:rsidR="002A6681" w:rsidRPr="00BC17D3">
        <w:rPr>
          <w:rFonts w:ascii="Arial" w:hAnsi="Arial" w:cs="Arial"/>
          <w:sz w:val="22"/>
          <w:szCs w:val="22"/>
        </w:rPr>
        <w:t>another</w:t>
      </w:r>
      <w:r w:rsidRPr="00BC17D3">
        <w:rPr>
          <w:rFonts w:ascii="Arial" w:hAnsi="Arial" w:cs="Arial"/>
          <w:sz w:val="22"/>
          <w:szCs w:val="22"/>
        </w:rPr>
        <w:t xml:space="preserve"> revision </w:t>
      </w:r>
      <w:r w:rsidR="00492E0C">
        <w:rPr>
          <w:rFonts w:ascii="Arial" w:hAnsi="Arial" w:cs="Arial"/>
          <w:sz w:val="22"/>
          <w:szCs w:val="22"/>
        </w:rPr>
        <w:t xml:space="preserve">once NICE have published </w:t>
      </w:r>
      <w:r w:rsidR="00D15FE9">
        <w:rPr>
          <w:rFonts w:ascii="Arial" w:hAnsi="Arial" w:cs="Arial"/>
          <w:sz w:val="22"/>
          <w:szCs w:val="22"/>
        </w:rPr>
        <w:t>their revised guidance.</w:t>
      </w:r>
    </w:p>
    <w:p w14:paraId="44D13BD1" w14:textId="77777777" w:rsidR="005F2E44" w:rsidRDefault="005F2E44" w:rsidP="005F2E44">
      <w:pPr>
        <w:rPr>
          <w:rFonts w:ascii="Arial" w:hAnsi="Arial" w:cs="Arial"/>
          <w:sz w:val="22"/>
          <w:szCs w:val="22"/>
        </w:rPr>
      </w:pPr>
    </w:p>
    <w:p w14:paraId="0F7C56B9" w14:textId="77777777" w:rsidR="005F2E44" w:rsidRPr="00B12705" w:rsidRDefault="005F2E44" w:rsidP="000C46ED">
      <w:pPr>
        <w:pStyle w:val="Heading2"/>
        <w:numPr>
          <w:ilvl w:val="0"/>
          <w:numId w:val="3"/>
        </w:numPr>
        <w:ind w:left="851" w:hanging="851"/>
        <w:rPr>
          <w:rFonts w:eastAsiaTheme="minorHAnsi" w:cs="Arial"/>
          <w:b/>
          <w:bCs/>
          <w:sz w:val="36"/>
          <w:szCs w:val="36"/>
          <w:lang w:eastAsia="en-US"/>
        </w:rPr>
      </w:pPr>
      <w:bookmarkStart w:id="1" w:name="_Toc199755649"/>
      <w:r w:rsidRPr="00B12705">
        <w:rPr>
          <w:rFonts w:eastAsiaTheme="minorHAnsi" w:cs="Arial"/>
          <w:b/>
          <w:bCs/>
          <w:sz w:val="36"/>
          <w:szCs w:val="36"/>
          <w:lang w:eastAsia="en-US"/>
        </w:rPr>
        <w:t>Introduction</w:t>
      </w:r>
      <w:bookmarkEnd w:id="1"/>
    </w:p>
    <w:p w14:paraId="3017A67D" w14:textId="77777777" w:rsidR="005F2E44" w:rsidRPr="00282A0D" w:rsidRDefault="005F2E44" w:rsidP="005F2E44">
      <w:pPr>
        <w:pStyle w:val="Heading1"/>
        <w:spacing w:before="0" w:beforeAutospacing="0" w:after="0" w:afterAutospacing="0" w:line="240" w:lineRule="auto"/>
        <w:rPr>
          <w:rFonts w:ascii="Arial" w:eastAsiaTheme="minorHAnsi" w:hAnsi="Arial" w:cs="Arial"/>
          <w:b w:val="0"/>
          <w:bCs w:val="0"/>
          <w:sz w:val="22"/>
          <w:szCs w:val="22"/>
          <w:lang w:eastAsia="en-US"/>
        </w:rPr>
      </w:pPr>
    </w:p>
    <w:p w14:paraId="165AD47E" w14:textId="26D3C66D" w:rsidR="005F2E44" w:rsidRPr="00F40A09" w:rsidRDefault="005F2E44" w:rsidP="000C46ED">
      <w:pPr>
        <w:pStyle w:val="ListParagraph"/>
        <w:numPr>
          <w:ilvl w:val="1"/>
          <w:numId w:val="3"/>
        </w:numPr>
        <w:ind w:left="851" w:hanging="851"/>
        <w:rPr>
          <w:rFonts w:ascii="Arial" w:hAnsi="Arial" w:cs="Arial"/>
          <w:sz w:val="22"/>
          <w:szCs w:val="22"/>
        </w:rPr>
      </w:pPr>
      <w:r w:rsidRPr="00F40A09">
        <w:rPr>
          <w:rFonts w:ascii="Arial" w:hAnsi="Arial" w:cs="Arial"/>
          <w:sz w:val="22"/>
          <w:szCs w:val="22"/>
        </w:rPr>
        <w:t>This policy describes circumstances in which NHS Cheshire and Merseyside Integrated Care Board (ICB) will fund</w:t>
      </w:r>
      <w:r w:rsidR="000F6E45" w:rsidRPr="000F6E45">
        <w:rPr>
          <w:rFonts w:ascii="Arial" w:hAnsi="Arial" w:cs="Arial"/>
          <w:sz w:val="22"/>
          <w:szCs w:val="22"/>
        </w:rPr>
        <w:t xml:space="preserve"> </w:t>
      </w:r>
      <w:r w:rsidR="000F6E45" w:rsidRPr="00A5715E">
        <w:rPr>
          <w:rFonts w:ascii="Arial" w:hAnsi="Arial" w:cs="Arial"/>
          <w:sz w:val="22"/>
          <w:szCs w:val="22"/>
        </w:rPr>
        <w:t>Medically Assisted Reproduction (MAR)</w:t>
      </w:r>
      <w:r w:rsidR="000F6E45" w:rsidRPr="006103B4">
        <w:rPr>
          <w:rFonts w:ascii="Arial" w:hAnsi="Arial" w:cs="Arial"/>
          <w:sz w:val="22"/>
          <w:szCs w:val="22"/>
        </w:rPr>
        <w:footnoteReference w:id="2"/>
      </w:r>
      <w:r w:rsidR="000F6E45" w:rsidRPr="00A5715E">
        <w:rPr>
          <w:rFonts w:ascii="Arial" w:hAnsi="Arial" w:cs="Arial"/>
          <w:sz w:val="22"/>
          <w:szCs w:val="22"/>
        </w:rPr>
        <w:t xml:space="preserve"> </w:t>
      </w:r>
      <w:r w:rsidR="00DE329E">
        <w:rPr>
          <w:rFonts w:ascii="Arial" w:hAnsi="Arial" w:cs="Arial"/>
          <w:sz w:val="22"/>
          <w:szCs w:val="22"/>
        </w:rPr>
        <w:t>treatments</w:t>
      </w:r>
      <w:r w:rsidR="00173215" w:rsidRPr="00F40A09">
        <w:rPr>
          <w:rFonts w:ascii="Arial" w:hAnsi="Arial" w:cs="Arial"/>
          <w:sz w:val="22"/>
          <w:szCs w:val="22"/>
        </w:rPr>
        <w:t xml:space="preserve"> </w:t>
      </w:r>
      <w:r w:rsidRPr="00F40A09">
        <w:rPr>
          <w:rFonts w:ascii="Arial" w:hAnsi="Arial" w:cs="Arial"/>
          <w:sz w:val="22"/>
          <w:szCs w:val="22"/>
        </w:rPr>
        <w:t xml:space="preserve">for </w:t>
      </w:r>
      <w:r w:rsidR="00793DE0">
        <w:rPr>
          <w:rFonts w:ascii="Arial" w:hAnsi="Arial" w:cs="Arial"/>
          <w:sz w:val="22"/>
          <w:szCs w:val="22"/>
        </w:rPr>
        <w:t xml:space="preserve">patients with </w:t>
      </w:r>
      <w:r w:rsidRPr="00F40A09">
        <w:rPr>
          <w:rFonts w:ascii="Arial" w:hAnsi="Arial" w:cs="Arial"/>
          <w:sz w:val="22"/>
          <w:szCs w:val="22"/>
        </w:rPr>
        <w:t xml:space="preserve">subfertility as defined in </w:t>
      </w:r>
      <w:r w:rsidRPr="003B2FD9">
        <w:rPr>
          <w:rFonts w:ascii="Arial" w:hAnsi="Arial" w:cs="Arial"/>
          <w:sz w:val="22"/>
          <w:szCs w:val="22"/>
          <w:highlight w:val="yellow"/>
        </w:rPr>
        <w:t xml:space="preserve">section </w:t>
      </w:r>
      <w:r w:rsidR="003B2FD9" w:rsidRPr="003B2FD9">
        <w:rPr>
          <w:rFonts w:ascii="Arial" w:hAnsi="Arial" w:cs="Arial"/>
          <w:sz w:val="22"/>
          <w:szCs w:val="22"/>
          <w:highlight w:val="yellow"/>
        </w:rPr>
        <w:t>4</w:t>
      </w:r>
      <w:r w:rsidRPr="00F40A09">
        <w:rPr>
          <w:rFonts w:ascii="Arial" w:hAnsi="Arial" w:cs="Arial"/>
          <w:sz w:val="22"/>
          <w:szCs w:val="22"/>
        </w:rPr>
        <w:t xml:space="preserve">. </w:t>
      </w:r>
    </w:p>
    <w:p w14:paraId="35969966" w14:textId="77777777" w:rsidR="005F2E44" w:rsidRPr="00F40A09" w:rsidRDefault="005F2E44" w:rsidP="005F2E44">
      <w:pPr>
        <w:rPr>
          <w:rFonts w:ascii="Arial" w:hAnsi="Arial" w:cs="Arial"/>
          <w:sz w:val="22"/>
          <w:szCs w:val="22"/>
        </w:rPr>
      </w:pPr>
    </w:p>
    <w:p w14:paraId="6D87BDA9" w14:textId="285CEC43" w:rsidR="005F2E44" w:rsidRPr="00F40A09" w:rsidRDefault="005F2E44" w:rsidP="000C46ED">
      <w:pPr>
        <w:pStyle w:val="ListParagraph"/>
        <w:numPr>
          <w:ilvl w:val="1"/>
          <w:numId w:val="3"/>
        </w:numPr>
        <w:ind w:left="851" w:hanging="851"/>
        <w:rPr>
          <w:rFonts w:ascii="Arial" w:hAnsi="Arial" w:cs="Arial"/>
          <w:sz w:val="22"/>
          <w:szCs w:val="22"/>
        </w:rPr>
      </w:pPr>
      <w:r w:rsidRPr="00F40A09">
        <w:rPr>
          <w:rFonts w:ascii="Arial" w:hAnsi="Arial" w:cs="Arial"/>
          <w:sz w:val="22"/>
          <w:szCs w:val="22"/>
        </w:rPr>
        <w:t xml:space="preserve">The objective of </w:t>
      </w:r>
      <w:r w:rsidR="00530D5E">
        <w:rPr>
          <w:rFonts w:ascii="Arial" w:hAnsi="Arial" w:cs="Arial"/>
          <w:sz w:val="22"/>
          <w:szCs w:val="22"/>
        </w:rPr>
        <w:t>MAR</w:t>
      </w:r>
      <w:r w:rsidR="00CC368D">
        <w:rPr>
          <w:rFonts w:ascii="Arial" w:hAnsi="Arial" w:cs="Arial"/>
          <w:sz w:val="22"/>
          <w:szCs w:val="22"/>
        </w:rPr>
        <w:t xml:space="preserve"> </w:t>
      </w:r>
      <w:r w:rsidRPr="00F40A09">
        <w:rPr>
          <w:rFonts w:ascii="Arial" w:hAnsi="Arial" w:cs="Arial"/>
          <w:sz w:val="22"/>
          <w:szCs w:val="22"/>
        </w:rPr>
        <w:t xml:space="preserve">treatment for subfertility is to achieve a successful pregnancy quickly and safely with the least intervention required and the delivery of a healthy child. </w:t>
      </w:r>
    </w:p>
    <w:p w14:paraId="0B83F3E9" w14:textId="77777777" w:rsidR="005F2E44" w:rsidRPr="00F40A09" w:rsidRDefault="005F2E44" w:rsidP="005F2E44">
      <w:pPr>
        <w:rPr>
          <w:rFonts w:ascii="Arial" w:hAnsi="Arial" w:cs="Arial"/>
          <w:sz w:val="22"/>
          <w:szCs w:val="22"/>
        </w:rPr>
      </w:pPr>
    </w:p>
    <w:p w14:paraId="6030DA54" w14:textId="7B6F5666" w:rsidR="005F2E44" w:rsidRPr="00F40A09" w:rsidRDefault="005F2E44" w:rsidP="000C46ED">
      <w:pPr>
        <w:pStyle w:val="ListParagraph"/>
        <w:numPr>
          <w:ilvl w:val="1"/>
          <w:numId w:val="3"/>
        </w:numPr>
        <w:ind w:left="851" w:hanging="851"/>
        <w:rPr>
          <w:rFonts w:ascii="Arial" w:hAnsi="Arial" w:cs="Arial"/>
          <w:sz w:val="22"/>
          <w:szCs w:val="22"/>
        </w:rPr>
      </w:pPr>
      <w:r w:rsidRPr="00F40A09">
        <w:rPr>
          <w:rFonts w:ascii="Arial" w:hAnsi="Arial" w:cs="Arial"/>
          <w:sz w:val="22"/>
          <w:szCs w:val="22"/>
        </w:rPr>
        <w:t xml:space="preserve">The criteria set out in this policy apply irrespective of where the residents of the ICB have their treatment (local NHS hospitals, tertiary care centres or independent sector providers). A patient is defined as someone registered with a GP practice within the ICB boundary. </w:t>
      </w:r>
    </w:p>
    <w:p w14:paraId="4D34BA8E" w14:textId="77777777" w:rsidR="005F2E44" w:rsidRPr="00F40A09" w:rsidRDefault="005F2E44" w:rsidP="005F2E44">
      <w:pPr>
        <w:rPr>
          <w:rFonts w:ascii="Arial" w:hAnsi="Arial" w:cs="Arial"/>
          <w:sz w:val="22"/>
          <w:szCs w:val="22"/>
        </w:rPr>
      </w:pPr>
    </w:p>
    <w:p w14:paraId="7AE5C4F4" w14:textId="77777777" w:rsidR="005F2E44" w:rsidRPr="00F40A09" w:rsidRDefault="005F2E44" w:rsidP="000C46ED">
      <w:pPr>
        <w:pStyle w:val="ListParagraph"/>
        <w:numPr>
          <w:ilvl w:val="1"/>
          <w:numId w:val="3"/>
        </w:numPr>
        <w:ind w:left="851" w:hanging="851"/>
        <w:rPr>
          <w:rFonts w:ascii="Arial" w:hAnsi="Arial" w:cs="Arial"/>
          <w:sz w:val="22"/>
          <w:szCs w:val="22"/>
        </w:rPr>
      </w:pPr>
      <w:r w:rsidRPr="00F40A09">
        <w:rPr>
          <w:rFonts w:ascii="Arial" w:hAnsi="Arial" w:cs="Arial"/>
          <w:sz w:val="22"/>
          <w:szCs w:val="22"/>
        </w:rPr>
        <w:t>This policy has drawn on guidance issued by the Department of Health, Infertility Network UK and the NICE guidance (CG156) first published in February 2013 (updated in September 2017).</w:t>
      </w:r>
    </w:p>
    <w:p w14:paraId="5BC1D002" w14:textId="77777777" w:rsidR="005F2E44" w:rsidRPr="00F40A09" w:rsidRDefault="005F2E44" w:rsidP="00B12705">
      <w:pPr>
        <w:pStyle w:val="Default"/>
        <w:ind w:left="851"/>
        <w:rPr>
          <w:color w:val="0000FF"/>
          <w:sz w:val="22"/>
          <w:szCs w:val="22"/>
        </w:rPr>
      </w:pPr>
      <w:hyperlink r:id="rId16" w:history="1">
        <w:r w:rsidRPr="00F40A09">
          <w:rPr>
            <w:rStyle w:val="Hyperlink"/>
            <w:sz w:val="22"/>
            <w:szCs w:val="22"/>
          </w:rPr>
          <w:t>https://fertilitynetworkuk.org/</w:t>
        </w:r>
      </w:hyperlink>
      <w:r w:rsidRPr="00F40A09">
        <w:rPr>
          <w:color w:val="0000FF"/>
          <w:sz w:val="22"/>
          <w:szCs w:val="22"/>
        </w:rPr>
        <w:t xml:space="preserve">  </w:t>
      </w:r>
    </w:p>
    <w:p w14:paraId="3555B0DF" w14:textId="77777777" w:rsidR="005F2E44" w:rsidRDefault="005F2E44" w:rsidP="00B12705">
      <w:pPr>
        <w:pStyle w:val="Default"/>
        <w:ind w:left="851"/>
        <w:rPr>
          <w:color w:val="FF0000"/>
          <w:sz w:val="22"/>
          <w:szCs w:val="22"/>
        </w:rPr>
      </w:pPr>
      <w:hyperlink r:id="rId17" w:history="1">
        <w:r w:rsidRPr="00F40A09">
          <w:rPr>
            <w:rStyle w:val="Hyperlink"/>
            <w:sz w:val="22"/>
            <w:szCs w:val="22"/>
          </w:rPr>
          <w:t>https://www.nice.org.uk/guidance/cg156/evidence/full-guideline-pdf-188539453</w:t>
        </w:r>
      </w:hyperlink>
      <w:r w:rsidRPr="00F40A09">
        <w:rPr>
          <w:color w:val="FF0000"/>
          <w:sz w:val="22"/>
          <w:szCs w:val="22"/>
        </w:rPr>
        <w:t xml:space="preserve"> </w:t>
      </w:r>
    </w:p>
    <w:p w14:paraId="4C318208" w14:textId="77777777" w:rsidR="005F2E44" w:rsidRPr="00B12705" w:rsidRDefault="005F2E44" w:rsidP="000C46ED">
      <w:pPr>
        <w:pStyle w:val="Heading2"/>
        <w:numPr>
          <w:ilvl w:val="0"/>
          <w:numId w:val="3"/>
        </w:numPr>
        <w:ind w:left="851" w:hanging="851"/>
        <w:rPr>
          <w:rFonts w:eastAsiaTheme="minorHAnsi" w:cs="Arial"/>
          <w:b/>
          <w:bCs/>
          <w:sz w:val="36"/>
          <w:szCs w:val="36"/>
          <w:lang w:eastAsia="en-US"/>
        </w:rPr>
      </w:pPr>
      <w:bookmarkStart w:id="2" w:name="_Toc199755650"/>
      <w:r w:rsidRPr="00B12705">
        <w:rPr>
          <w:rFonts w:eastAsiaTheme="minorHAnsi" w:cs="Arial"/>
          <w:b/>
          <w:bCs/>
          <w:sz w:val="36"/>
          <w:szCs w:val="36"/>
          <w:lang w:eastAsia="en-US"/>
        </w:rPr>
        <w:lastRenderedPageBreak/>
        <w:t>General Principles</w:t>
      </w:r>
      <w:bookmarkEnd w:id="2"/>
    </w:p>
    <w:p w14:paraId="22564506" w14:textId="77777777" w:rsidR="005F2E44" w:rsidRPr="004A6626" w:rsidRDefault="005F2E44" w:rsidP="005F2E44">
      <w:pPr>
        <w:rPr>
          <w:rFonts w:ascii="Arial" w:hAnsi="Arial" w:cs="Arial"/>
          <w:sz w:val="22"/>
          <w:szCs w:val="22"/>
        </w:rPr>
      </w:pPr>
    </w:p>
    <w:p w14:paraId="62A2C208" w14:textId="5B138132" w:rsidR="005F2E44" w:rsidRPr="00795E1E" w:rsidRDefault="006E1DB8" w:rsidP="001C71E6">
      <w:pPr>
        <w:pStyle w:val="ListParagraph"/>
        <w:numPr>
          <w:ilvl w:val="1"/>
          <w:numId w:val="3"/>
        </w:numPr>
        <w:ind w:left="851" w:hanging="851"/>
        <w:rPr>
          <w:rFonts w:ascii="Arial" w:hAnsi="Arial" w:cs="Arial"/>
          <w:sz w:val="22"/>
          <w:szCs w:val="22"/>
        </w:rPr>
      </w:pPr>
      <w:r w:rsidRPr="00E503CA">
        <w:rPr>
          <w:rFonts w:ascii="Arial" w:hAnsi="Arial" w:cs="Arial"/>
          <w:b/>
          <w:bCs/>
          <w:i/>
          <w:iCs/>
          <w:color w:val="FF0000"/>
          <w:sz w:val="22"/>
          <w:szCs w:val="22"/>
        </w:rPr>
        <w:t>[IMPORTANT]</w:t>
      </w:r>
      <w:r>
        <w:rPr>
          <w:rFonts w:ascii="Arial" w:hAnsi="Arial" w:cs="Arial"/>
          <w:sz w:val="22"/>
          <w:szCs w:val="22"/>
        </w:rPr>
        <w:t xml:space="preserve"> </w:t>
      </w:r>
      <w:r w:rsidR="005F2E44" w:rsidRPr="00795E1E">
        <w:rPr>
          <w:rFonts w:ascii="Arial" w:hAnsi="Arial" w:cs="Arial"/>
          <w:sz w:val="22"/>
          <w:szCs w:val="22"/>
        </w:rPr>
        <w:t>Management of fertility problems is a complex area.</w:t>
      </w:r>
      <w:r w:rsidR="00057C53" w:rsidRPr="00795E1E">
        <w:rPr>
          <w:rFonts w:ascii="Arial" w:hAnsi="Arial" w:cs="Arial"/>
          <w:sz w:val="22"/>
          <w:szCs w:val="22"/>
        </w:rPr>
        <w:t xml:space="preserve">  </w:t>
      </w:r>
      <w:r w:rsidR="005F2E44" w:rsidRPr="00795E1E">
        <w:rPr>
          <w:rFonts w:ascii="Arial" w:hAnsi="Arial" w:cs="Arial"/>
          <w:sz w:val="22"/>
          <w:szCs w:val="22"/>
        </w:rPr>
        <w:t>Many of the policy statements are interrelated i.e. some policy statements may be affected by other statements elsewhere in the policy document.</w:t>
      </w:r>
      <w:r w:rsidR="00795E1E" w:rsidRPr="00795E1E">
        <w:rPr>
          <w:rFonts w:ascii="Arial" w:hAnsi="Arial" w:cs="Arial"/>
          <w:sz w:val="22"/>
          <w:szCs w:val="22"/>
        </w:rPr>
        <w:t xml:space="preserve">  To</w:t>
      </w:r>
      <w:r w:rsidR="005F2E44" w:rsidRPr="00795E1E">
        <w:rPr>
          <w:rFonts w:ascii="Arial" w:hAnsi="Arial" w:cs="Arial"/>
          <w:sz w:val="22"/>
          <w:szCs w:val="22"/>
        </w:rPr>
        <w:t xml:space="preserve"> correctly interpret a specific statement, the whole document must be taken into consideration</w:t>
      </w:r>
      <w:r>
        <w:rPr>
          <w:rFonts w:ascii="Arial" w:hAnsi="Arial" w:cs="Arial"/>
          <w:sz w:val="22"/>
          <w:szCs w:val="22"/>
        </w:rPr>
        <w:t>.</w:t>
      </w:r>
    </w:p>
    <w:p w14:paraId="18FA985B" w14:textId="77777777" w:rsidR="005F2E44" w:rsidRPr="004A6626" w:rsidRDefault="005F2E44" w:rsidP="005F2E44">
      <w:pPr>
        <w:rPr>
          <w:rFonts w:ascii="Arial" w:hAnsi="Arial" w:cs="Arial"/>
          <w:sz w:val="22"/>
          <w:szCs w:val="22"/>
        </w:rPr>
      </w:pPr>
    </w:p>
    <w:p w14:paraId="60B3A0AA" w14:textId="1F624671" w:rsidR="005F2E44" w:rsidRPr="00F822BD" w:rsidRDefault="005F2E44" w:rsidP="000C46ED">
      <w:pPr>
        <w:pStyle w:val="ListParagraph"/>
        <w:numPr>
          <w:ilvl w:val="1"/>
          <w:numId w:val="3"/>
        </w:numPr>
        <w:ind w:left="851" w:hanging="851"/>
        <w:rPr>
          <w:rFonts w:ascii="Arial" w:hAnsi="Arial" w:cs="Arial"/>
          <w:sz w:val="22"/>
          <w:szCs w:val="22"/>
        </w:rPr>
      </w:pPr>
      <w:r w:rsidRPr="00F822BD">
        <w:rPr>
          <w:rFonts w:ascii="Arial" w:hAnsi="Arial" w:cs="Arial"/>
          <w:sz w:val="22"/>
          <w:szCs w:val="22"/>
        </w:rPr>
        <w:t xml:space="preserve">The ICB has had regard to the NICE guidance in the formulation of this policy and as such, treatments are only permitted for health-related fertility problems and in accordance with the general principles, definitions and general eligibility criteria in </w:t>
      </w:r>
      <w:r w:rsidRPr="00474668">
        <w:rPr>
          <w:rFonts w:ascii="Arial" w:hAnsi="Arial" w:cs="Arial"/>
          <w:sz w:val="22"/>
          <w:szCs w:val="22"/>
          <w:highlight w:val="yellow"/>
        </w:rPr>
        <w:t xml:space="preserve">sections </w:t>
      </w:r>
      <w:r w:rsidR="08F687E9" w:rsidRPr="4B5C4AAE">
        <w:rPr>
          <w:rFonts w:ascii="Arial" w:hAnsi="Arial" w:cs="Arial"/>
          <w:sz w:val="22"/>
          <w:szCs w:val="22"/>
          <w:highlight w:val="yellow"/>
        </w:rPr>
        <w:t>4</w:t>
      </w:r>
      <w:r w:rsidRPr="00474668">
        <w:rPr>
          <w:rFonts w:ascii="Arial" w:hAnsi="Arial" w:cs="Arial"/>
          <w:sz w:val="22"/>
          <w:szCs w:val="22"/>
          <w:highlight w:val="yellow"/>
        </w:rPr>
        <w:t>-</w:t>
      </w:r>
      <w:r w:rsidR="002C5786" w:rsidRPr="00474668">
        <w:rPr>
          <w:rFonts w:ascii="Arial" w:hAnsi="Arial" w:cs="Arial"/>
          <w:sz w:val="22"/>
          <w:szCs w:val="22"/>
          <w:highlight w:val="yellow"/>
        </w:rPr>
        <w:t>10</w:t>
      </w:r>
      <w:r w:rsidR="00D43732" w:rsidRPr="00F822BD">
        <w:rPr>
          <w:rFonts w:ascii="Arial" w:hAnsi="Arial" w:cs="Arial"/>
          <w:sz w:val="22"/>
          <w:szCs w:val="22"/>
        </w:rPr>
        <w:t xml:space="preserve"> </w:t>
      </w:r>
      <w:r w:rsidRPr="00F822BD">
        <w:rPr>
          <w:rFonts w:ascii="Arial" w:hAnsi="Arial" w:cs="Arial"/>
          <w:sz w:val="22"/>
          <w:szCs w:val="22"/>
        </w:rPr>
        <w:t xml:space="preserve">inclusive. </w:t>
      </w:r>
    </w:p>
    <w:p w14:paraId="66279024" w14:textId="77777777" w:rsidR="005F2E44" w:rsidRPr="004A6626" w:rsidRDefault="005F2E44" w:rsidP="005F2E44">
      <w:pPr>
        <w:rPr>
          <w:rFonts w:ascii="Arial" w:hAnsi="Arial" w:cs="Arial"/>
          <w:sz w:val="22"/>
          <w:szCs w:val="22"/>
        </w:rPr>
      </w:pPr>
    </w:p>
    <w:p w14:paraId="16D1B4FC" w14:textId="77777777" w:rsidR="005F2E44" w:rsidRPr="004761DE" w:rsidRDefault="005F2E44" w:rsidP="000C46ED">
      <w:pPr>
        <w:pStyle w:val="ListParagraph"/>
        <w:numPr>
          <w:ilvl w:val="1"/>
          <w:numId w:val="3"/>
        </w:numPr>
        <w:ind w:left="851" w:hanging="851"/>
        <w:rPr>
          <w:rFonts w:ascii="Arial" w:hAnsi="Arial" w:cs="Arial"/>
          <w:sz w:val="22"/>
          <w:szCs w:val="22"/>
        </w:rPr>
      </w:pPr>
      <w:r w:rsidRPr="004761DE">
        <w:rPr>
          <w:rFonts w:ascii="Arial" w:hAnsi="Arial" w:cs="Arial"/>
          <w:sz w:val="22"/>
          <w:szCs w:val="22"/>
        </w:rPr>
        <w:t xml:space="preserve">The eligibility criteria set out below does not apply to clinical investigations for subfertility. </w:t>
      </w:r>
    </w:p>
    <w:p w14:paraId="0618DD59" w14:textId="77777777" w:rsidR="005F2E44" w:rsidRPr="004A6626" w:rsidRDefault="005F2E44" w:rsidP="005F2E44">
      <w:pPr>
        <w:rPr>
          <w:rFonts w:ascii="Arial" w:hAnsi="Arial" w:cs="Arial"/>
          <w:sz w:val="22"/>
          <w:szCs w:val="22"/>
        </w:rPr>
      </w:pPr>
    </w:p>
    <w:p w14:paraId="6DCCF34B" w14:textId="77777777" w:rsidR="00CF38AB" w:rsidRDefault="005F2E44" w:rsidP="001C71E6">
      <w:pPr>
        <w:pStyle w:val="ListParagraph"/>
        <w:numPr>
          <w:ilvl w:val="1"/>
          <w:numId w:val="3"/>
        </w:numPr>
        <w:ind w:left="851" w:hanging="851"/>
        <w:rPr>
          <w:rFonts w:ascii="Arial" w:hAnsi="Arial" w:cs="Arial"/>
          <w:sz w:val="22"/>
          <w:szCs w:val="22"/>
        </w:rPr>
      </w:pPr>
      <w:r w:rsidRPr="00144EDD">
        <w:rPr>
          <w:rFonts w:ascii="Arial" w:hAnsi="Arial" w:cs="Arial"/>
          <w:sz w:val="22"/>
          <w:szCs w:val="22"/>
        </w:rPr>
        <w:t xml:space="preserve">The eligibility criteria do not apply to the use of assisted conception techniques for reasons other than subfertility, for example in families with serious inherited diseases where in-vitro fertilization (IVF) is used to screen out embryos carrying the disease or to preserve fertility, for example for patients about to undergo chemotherapy, radiotherapy or other invasive treatments. </w:t>
      </w:r>
    </w:p>
    <w:p w14:paraId="6A9E6DD1" w14:textId="77777777" w:rsidR="00CF38AB" w:rsidRPr="00CF38AB" w:rsidRDefault="00CF38AB" w:rsidP="00CF38AB">
      <w:pPr>
        <w:pStyle w:val="ListParagraph"/>
        <w:rPr>
          <w:rFonts w:ascii="Arial" w:hAnsi="Arial" w:cs="Arial"/>
          <w:sz w:val="22"/>
          <w:szCs w:val="22"/>
        </w:rPr>
      </w:pPr>
    </w:p>
    <w:p w14:paraId="13F5E902" w14:textId="57227776" w:rsidR="005F2E44" w:rsidRDefault="005F2E44" w:rsidP="00CF38AB">
      <w:pPr>
        <w:pStyle w:val="ListParagraph"/>
        <w:ind w:left="851"/>
        <w:rPr>
          <w:rFonts w:ascii="Arial" w:hAnsi="Arial" w:cs="Arial"/>
          <w:sz w:val="22"/>
          <w:szCs w:val="22"/>
        </w:rPr>
      </w:pPr>
      <w:r w:rsidRPr="00144EDD">
        <w:rPr>
          <w:rFonts w:ascii="Arial" w:hAnsi="Arial" w:cs="Arial"/>
          <w:sz w:val="22"/>
          <w:szCs w:val="22"/>
        </w:rPr>
        <w:t xml:space="preserve">Patients in this situation are encouraged to raise the topic of their fertility with their treating physician or surgeon. </w:t>
      </w:r>
    </w:p>
    <w:p w14:paraId="0F4E51DB" w14:textId="77777777" w:rsidR="0020628D" w:rsidRDefault="00706021" w:rsidP="001C71E6">
      <w:pPr>
        <w:pStyle w:val="ListParagraph"/>
        <w:numPr>
          <w:ilvl w:val="0"/>
          <w:numId w:val="4"/>
        </w:numPr>
        <w:ind w:left="1276"/>
        <w:rPr>
          <w:rFonts w:ascii="Arial" w:hAnsi="Arial" w:cs="Arial"/>
          <w:sz w:val="22"/>
          <w:szCs w:val="22"/>
        </w:rPr>
      </w:pPr>
      <w:r w:rsidRPr="0020628D">
        <w:rPr>
          <w:rFonts w:ascii="Arial" w:hAnsi="Arial" w:cs="Arial"/>
          <w:sz w:val="22"/>
          <w:szCs w:val="22"/>
        </w:rPr>
        <w:t xml:space="preserve">The </w:t>
      </w:r>
      <w:hyperlink r:id="rId18" w:history="1">
        <w:r w:rsidRPr="0020628D">
          <w:rPr>
            <w:rFonts w:ascii="Arial" w:hAnsi="Arial" w:cs="Arial"/>
            <w:color w:val="0000FF"/>
            <w:sz w:val="22"/>
            <w:szCs w:val="22"/>
            <w:u w:val="single"/>
          </w:rPr>
          <w:t>cancer research link</w:t>
        </w:r>
      </w:hyperlink>
      <w:r w:rsidRPr="0020628D">
        <w:rPr>
          <w:rFonts w:ascii="Arial" w:hAnsi="Arial" w:cs="Arial"/>
          <w:sz w:val="22"/>
          <w:szCs w:val="22"/>
        </w:rPr>
        <w:t xml:space="preserve"> covers cancer treatment related fertility. </w:t>
      </w:r>
    </w:p>
    <w:p w14:paraId="2E478D0E" w14:textId="58C493BD" w:rsidR="005F2E44" w:rsidRPr="0020628D" w:rsidRDefault="0020628D" w:rsidP="001C71E6">
      <w:pPr>
        <w:pStyle w:val="ListParagraph"/>
        <w:numPr>
          <w:ilvl w:val="0"/>
          <w:numId w:val="4"/>
        </w:numPr>
        <w:ind w:left="1276"/>
        <w:rPr>
          <w:rFonts w:ascii="Arial" w:hAnsi="Arial" w:cs="Arial"/>
          <w:sz w:val="22"/>
          <w:szCs w:val="22"/>
        </w:rPr>
      </w:pPr>
      <w:r w:rsidRPr="0020628D">
        <w:rPr>
          <w:rFonts w:ascii="Arial" w:hAnsi="Arial" w:cs="Arial"/>
          <w:sz w:val="22"/>
          <w:szCs w:val="22"/>
        </w:rPr>
        <w:t xml:space="preserve">The </w:t>
      </w:r>
      <w:hyperlink r:id="rId19" w:history="1">
        <w:r w:rsidRPr="0020628D">
          <w:rPr>
            <w:rStyle w:val="Hyperlink"/>
            <w:rFonts w:ascii="Arial" w:hAnsi="Arial" w:cs="Arial"/>
            <w:sz w:val="22"/>
            <w:szCs w:val="22"/>
          </w:rPr>
          <w:t>inherited diseases link</w:t>
        </w:r>
      </w:hyperlink>
      <w:r w:rsidRPr="0020628D">
        <w:rPr>
          <w:rFonts w:ascii="Arial" w:hAnsi="Arial" w:cs="Arial"/>
          <w:sz w:val="22"/>
          <w:szCs w:val="22"/>
        </w:rPr>
        <w:t xml:space="preserve"> covers fertility problems associated with familial diseases</w:t>
      </w:r>
      <w:r>
        <w:rPr>
          <w:rFonts w:ascii="Arial" w:hAnsi="Arial" w:cs="Arial"/>
          <w:sz w:val="22"/>
          <w:szCs w:val="22"/>
        </w:rPr>
        <w:t>.</w:t>
      </w:r>
      <w:r w:rsidR="005F2E44" w:rsidRPr="0020628D">
        <w:rPr>
          <w:rFonts w:ascii="Arial" w:hAnsi="Arial" w:cs="Arial"/>
          <w:sz w:val="22"/>
          <w:szCs w:val="22"/>
        </w:rPr>
        <w:t xml:space="preserve">  </w:t>
      </w:r>
    </w:p>
    <w:p w14:paraId="09FB1DD8" w14:textId="77777777" w:rsidR="005F2E44" w:rsidRPr="004A6626" w:rsidRDefault="005F2E44" w:rsidP="005F2E44">
      <w:pPr>
        <w:rPr>
          <w:rFonts w:ascii="Arial" w:hAnsi="Arial" w:cs="Arial"/>
          <w:sz w:val="22"/>
          <w:szCs w:val="22"/>
        </w:rPr>
      </w:pPr>
    </w:p>
    <w:p w14:paraId="01B48D16" w14:textId="77777777" w:rsidR="005F2E44" w:rsidRPr="004761DE" w:rsidRDefault="005F2E44" w:rsidP="000C46ED">
      <w:pPr>
        <w:pStyle w:val="ListParagraph"/>
        <w:numPr>
          <w:ilvl w:val="1"/>
          <w:numId w:val="3"/>
        </w:numPr>
        <w:ind w:left="851" w:hanging="851"/>
        <w:rPr>
          <w:rFonts w:ascii="Arial" w:hAnsi="Arial" w:cs="Arial"/>
          <w:sz w:val="22"/>
          <w:szCs w:val="22"/>
        </w:rPr>
      </w:pPr>
      <w:r w:rsidRPr="004761DE">
        <w:rPr>
          <w:rFonts w:ascii="Arial" w:hAnsi="Arial" w:cs="Arial"/>
          <w:sz w:val="22"/>
          <w:szCs w:val="22"/>
        </w:rPr>
        <w:t>The ICB respects the right of patients to be treated according to the obligations set out in the NHS Constitution and the Human Rights Act specifically with regard to age and sex discrimination.</w:t>
      </w:r>
    </w:p>
    <w:p w14:paraId="06953F84" w14:textId="77777777" w:rsidR="005F2E44" w:rsidRPr="004A6626" w:rsidRDefault="005F2E44" w:rsidP="005F2E44">
      <w:pPr>
        <w:rPr>
          <w:rFonts w:ascii="Arial" w:hAnsi="Arial" w:cs="Arial"/>
          <w:sz w:val="22"/>
          <w:szCs w:val="22"/>
        </w:rPr>
      </w:pPr>
    </w:p>
    <w:p w14:paraId="26B2591D" w14:textId="0E3499AD" w:rsidR="005F2E44" w:rsidRDefault="005F2E44" w:rsidP="000C46ED">
      <w:pPr>
        <w:pStyle w:val="ListParagraph"/>
        <w:numPr>
          <w:ilvl w:val="1"/>
          <w:numId w:val="3"/>
        </w:numPr>
        <w:ind w:left="851" w:hanging="851"/>
        <w:rPr>
          <w:rFonts w:ascii="Arial" w:hAnsi="Arial" w:cs="Arial"/>
          <w:sz w:val="22"/>
          <w:szCs w:val="22"/>
        </w:rPr>
      </w:pPr>
      <w:r>
        <w:rPr>
          <w:rFonts w:ascii="Arial" w:hAnsi="Arial" w:cs="Arial"/>
          <w:sz w:val="22"/>
          <w:szCs w:val="22"/>
        </w:rPr>
        <w:t>P</w:t>
      </w:r>
      <w:r w:rsidRPr="004761DE">
        <w:rPr>
          <w:rFonts w:ascii="Arial" w:hAnsi="Arial" w:cs="Arial"/>
          <w:sz w:val="22"/>
          <w:szCs w:val="22"/>
        </w:rPr>
        <w:t>atients who are mid-treatment before the formal implementation of this policy will be allowed to continue on the older pathway or transfer to the new one at the discretion and after discussion with their clinician.</w:t>
      </w:r>
    </w:p>
    <w:p w14:paraId="51D3B74D" w14:textId="77777777" w:rsidR="005703A1" w:rsidRPr="005703A1" w:rsidRDefault="005703A1" w:rsidP="005703A1">
      <w:pPr>
        <w:pStyle w:val="ListParagraph"/>
        <w:rPr>
          <w:rFonts w:ascii="Arial" w:hAnsi="Arial" w:cs="Arial"/>
          <w:sz w:val="22"/>
          <w:szCs w:val="22"/>
        </w:rPr>
      </w:pPr>
    </w:p>
    <w:p w14:paraId="26FD13AC" w14:textId="77777777" w:rsidR="005703A1" w:rsidRPr="00E21F0F" w:rsidRDefault="005703A1" w:rsidP="005703A1">
      <w:pPr>
        <w:pStyle w:val="ListParagraph"/>
        <w:numPr>
          <w:ilvl w:val="1"/>
          <w:numId w:val="3"/>
        </w:numPr>
        <w:ind w:left="851" w:hanging="851"/>
        <w:rPr>
          <w:rFonts w:ascii="Arial" w:hAnsi="Arial" w:cs="Arial"/>
          <w:sz w:val="22"/>
          <w:szCs w:val="22"/>
        </w:rPr>
      </w:pPr>
      <w:r w:rsidRPr="00E21F0F">
        <w:rPr>
          <w:rFonts w:ascii="Arial" w:hAnsi="Arial" w:cs="Arial"/>
          <w:sz w:val="22"/>
          <w:szCs w:val="22"/>
        </w:rPr>
        <w:t xml:space="preserve">Owing to the nature of </w:t>
      </w:r>
      <w:r>
        <w:rPr>
          <w:rFonts w:ascii="Arial" w:hAnsi="Arial" w:cs="Arial"/>
          <w:sz w:val="22"/>
          <w:szCs w:val="22"/>
        </w:rPr>
        <w:t>clinical commissioning</w:t>
      </w:r>
      <w:r w:rsidRPr="00E21F0F">
        <w:rPr>
          <w:rFonts w:ascii="Arial" w:hAnsi="Arial" w:cs="Arial"/>
          <w:sz w:val="22"/>
          <w:szCs w:val="22"/>
        </w:rPr>
        <w:t xml:space="preserve"> policies, it is necessary to refer to the biological sex of patients on occasion. When the terms ‘men’ and ‘women’ are used in this document (unless otherwise specified), this refers to biological sex. </w:t>
      </w:r>
      <w:r>
        <w:rPr>
          <w:rFonts w:ascii="Arial" w:hAnsi="Arial" w:cs="Arial"/>
          <w:sz w:val="22"/>
          <w:szCs w:val="22"/>
        </w:rPr>
        <w:t xml:space="preserve"> </w:t>
      </w:r>
      <w:r w:rsidRPr="00E21F0F">
        <w:rPr>
          <w:rFonts w:ascii="Arial" w:hAnsi="Arial" w:cs="Arial"/>
          <w:sz w:val="22"/>
          <w:szCs w:val="22"/>
        </w:rPr>
        <w:t>It is acknowledged that this may not necessarily be the gender to which individual patients identify.</w:t>
      </w:r>
    </w:p>
    <w:p w14:paraId="1F6A1260" w14:textId="77777777" w:rsidR="00DD4C04" w:rsidRDefault="00DD4C04" w:rsidP="009B4BAF">
      <w:pPr>
        <w:rPr>
          <w:rFonts w:ascii="Arial" w:hAnsi="Arial" w:cs="Arial"/>
          <w:sz w:val="22"/>
          <w:szCs w:val="22"/>
        </w:rPr>
      </w:pPr>
    </w:p>
    <w:p w14:paraId="3740F214" w14:textId="77777777" w:rsidR="005F2E44" w:rsidRPr="00151D53" w:rsidRDefault="005F2E44" w:rsidP="00151D53">
      <w:pPr>
        <w:pStyle w:val="Heading1"/>
        <w:spacing w:before="0" w:beforeAutospacing="0" w:after="0" w:afterAutospacing="0" w:line="240" w:lineRule="auto"/>
        <w:rPr>
          <w:rFonts w:ascii="Arial" w:eastAsiaTheme="minorHAnsi" w:hAnsi="Arial" w:cs="Arial"/>
          <w:lang w:eastAsia="en-US"/>
        </w:rPr>
      </w:pPr>
      <w:bookmarkStart w:id="3" w:name="_Toc199755651"/>
      <w:r w:rsidRPr="00151D53">
        <w:rPr>
          <w:rFonts w:ascii="Arial" w:eastAsiaTheme="minorHAnsi" w:hAnsi="Arial" w:cs="Arial"/>
          <w:lang w:eastAsia="en-US"/>
        </w:rPr>
        <w:t>Eligibility Criteria</w:t>
      </w:r>
      <w:bookmarkEnd w:id="3"/>
    </w:p>
    <w:p w14:paraId="5193B3AB" w14:textId="77777777" w:rsidR="005F2E44" w:rsidRDefault="005F2E44" w:rsidP="00E633EA">
      <w:pPr>
        <w:rPr>
          <w:rFonts w:ascii="Arial" w:hAnsi="Arial" w:cs="Arial"/>
          <w:sz w:val="22"/>
          <w:szCs w:val="22"/>
        </w:rPr>
      </w:pPr>
    </w:p>
    <w:p w14:paraId="39F4B6BF" w14:textId="339836B3" w:rsidR="00B50A11" w:rsidRPr="00F90688" w:rsidRDefault="00F90688" w:rsidP="00F90688">
      <w:pPr>
        <w:pStyle w:val="Heading2"/>
        <w:numPr>
          <w:ilvl w:val="0"/>
          <w:numId w:val="3"/>
        </w:numPr>
        <w:ind w:left="851" w:hanging="851"/>
        <w:rPr>
          <w:rFonts w:eastAsiaTheme="minorHAnsi" w:cs="Arial"/>
          <w:b/>
          <w:bCs/>
          <w:sz w:val="36"/>
          <w:szCs w:val="36"/>
          <w:lang w:eastAsia="en-US"/>
        </w:rPr>
      </w:pPr>
      <w:bookmarkStart w:id="4" w:name="_Toc199755652"/>
      <w:r w:rsidRPr="00F90688">
        <w:rPr>
          <w:rFonts w:eastAsiaTheme="minorHAnsi" w:cs="Arial"/>
          <w:b/>
          <w:bCs/>
          <w:sz w:val="36"/>
          <w:szCs w:val="36"/>
          <w:lang w:eastAsia="en-US"/>
        </w:rPr>
        <w:t>Subfertility</w:t>
      </w:r>
      <w:r w:rsidR="006D0A05">
        <w:rPr>
          <w:rFonts w:eastAsiaTheme="minorHAnsi" w:cs="Arial"/>
          <w:b/>
          <w:bCs/>
          <w:sz w:val="36"/>
          <w:szCs w:val="36"/>
          <w:lang w:eastAsia="en-US"/>
        </w:rPr>
        <w:t xml:space="preserve"> Definition</w:t>
      </w:r>
      <w:r w:rsidR="00723995">
        <w:rPr>
          <w:rFonts w:eastAsiaTheme="minorHAnsi" w:cs="Arial"/>
          <w:b/>
          <w:bCs/>
          <w:sz w:val="36"/>
          <w:szCs w:val="36"/>
          <w:lang w:eastAsia="en-US"/>
        </w:rPr>
        <w:t>, timing of access to treatment and age range</w:t>
      </w:r>
      <w:bookmarkEnd w:id="4"/>
    </w:p>
    <w:p w14:paraId="02017A5C" w14:textId="77777777" w:rsidR="00B50A11" w:rsidRDefault="00B50A11" w:rsidP="00E633EA">
      <w:pPr>
        <w:rPr>
          <w:rFonts w:ascii="Arial" w:hAnsi="Arial" w:cs="Arial"/>
          <w:sz w:val="22"/>
          <w:szCs w:val="22"/>
        </w:rPr>
      </w:pPr>
    </w:p>
    <w:p w14:paraId="6B8D898F" w14:textId="5CC55CBE" w:rsidR="00925DF1" w:rsidRPr="00A5715E" w:rsidRDefault="00925DF1" w:rsidP="00925DF1">
      <w:pPr>
        <w:pStyle w:val="ListParagraph"/>
        <w:numPr>
          <w:ilvl w:val="1"/>
          <w:numId w:val="3"/>
        </w:numPr>
        <w:ind w:left="851" w:hanging="851"/>
        <w:rPr>
          <w:rFonts w:ascii="Arial" w:hAnsi="Arial" w:cs="Arial"/>
          <w:sz w:val="22"/>
          <w:szCs w:val="22"/>
        </w:rPr>
      </w:pPr>
      <w:r w:rsidRPr="00A5715E">
        <w:rPr>
          <w:rFonts w:ascii="Arial" w:hAnsi="Arial" w:cs="Arial"/>
          <w:sz w:val="22"/>
          <w:szCs w:val="22"/>
        </w:rPr>
        <w:t xml:space="preserve">Fertility problems are common in the UK and it is estimated that they affect one in seven couples. Eighty four percent of women in the general population will conceive within one year if they have regular, unprotected sexual intercourse. </w:t>
      </w:r>
      <w:r w:rsidR="00E673B5">
        <w:rPr>
          <w:rFonts w:ascii="Arial" w:hAnsi="Arial" w:cs="Arial"/>
          <w:sz w:val="22"/>
          <w:szCs w:val="22"/>
        </w:rPr>
        <w:t xml:space="preserve"> </w:t>
      </w:r>
      <w:r w:rsidRPr="00A5715E">
        <w:rPr>
          <w:rFonts w:ascii="Arial" w:hAnsi="Arial" w:cs="Arial"/>
          <w:sz w:val="22"/>
          <w:szCs w:val="22"/>
        </w:rPr>
        <w:t xml:space="preserve">Of those who do not conceive in the first year, about half will do so in the second year (cumulative pregnancy rate 92%). In 25% of infertility cases the cause cannot be identified. </w:t>
      </w:r>
    </w:p>
    <w:p w14:paraId="5F821745" w14:textId="77777777" w:rsidR="00D66ED3" w:rsidRDefault="00D66ED3" w:rsidP="00D66ED3">
      <w:pPr>
        <w:rPr>
          <w:rFonts w:ascii="Arial" w:hAnsi="Arial" w:cs="Arial"/>
          <w:sz w:val="22"/>
          <w:szCs w:val="22"/>
        </w:rPr>
      </w:pPr>
    </w:p>
    <w:p w14:paraId="37157B6E" w14:textId="0F3955AA" w:rsidR="00B9477C" w:rsidRPr="00C96816" w:rsidRDefault="005C6801" w:rsidP="00C96816">
      <w:pPr>
        <w:pStyle w:val="ListParagraph"/>
        <w:numPr>
          <w:ilvl w:val="1"/>
          <w:numId w:val="3"/>
        </w:numPr>
        <w:ind w:left="851" w:hanging="851"/>
        <w:rPr>
          <w:rFonts w:ascii="Arial" w:hAnsi="Arial" w:cs="Arial"/>
          <w:sz w:val="22"/>
          <w:szCs w:val="22"/>
        </w:rPr>
      </w:pPr>
      <w:r w:rsidRPr="00BF0D21">
        <w:rPr>
          <w:rFonts w:ascii="Arial" w:hAnsi="Arial" w:cs="Arial"/>
          <w:sz w:val="22"/>
          <w:szCs w:val="22"/>
        </w:rPr>
        <w:t xml:space="preserve">Where a woman is of reproductive age and having regular unprotected vaginal intercourse two to three times per week, failure to conceive within twelve months should be taken as an indication for further assessment and possible treatment. </w:t>
      </w:r>
    </w:p>
    <w:p w14:paraId="3004309F" w14:textId="77777777" w:rsidR="00B9477C" w:rsidRDefault="00B9477C" w:rsidP="00B9477C">
      <w:pPr>
        <w:pStyle w:val="ListParagraph"/>
        <w:rPr>
          <w:rFonts w:ascii="Arial" w:hAnsi="Arial" w:cs="Arial"/>
          <w:sz w:val="22"/>
          <w:szCs w:val="22"/>
        </w:rPr>
      </w:pPr>
    </w:p>
    <w:p w14:paraId="39ED4825" w14:textId="77777777" w:rsidR="00D55C1C" w:rsidRPr="00B9477C" w:rsidRDefault="00D55C1C" w:rsidP="00B9477C">
      <w:pPr>
        <w:pStyle w:val="ListParagraph"/>
        <w:rPr>
          <w:rFonts w:ascii="Arial" w:hAnsi="Arial" w:cs="Arial"/>
          <w:sz w:val="22"/>
          <w:szCs w:val="22"/>
        </w:rPr>
      </w:pPr>
    </w:p>
    <w:p w14:paraId="19F22D7F" w14:textId="24DED916" w:rsidR="005C6801" w:rsidRDefault="00B52E7D" w:rsidP="005C6801">
      <w:pPr>
        <w:pStyle w:val="ListParagraph"/>
        <w:numPr>
          <w:ilvl w:val="1"/>
          <w:numId w:val="3"/>
        </w:numPr>
        <w:ind w:left="851" w:hanging="851"/>
        <w:rPr>
          <w:rFonts w:ascii="Arial" w:hAnsi="Arial" w:cs="Arial"/>
          <w:sz w:val="22"/>
          <w:szCs w:val="22"/>
        </w:rPr>
      </w:pPr>
      <w:r>
        <w:rPr>
          <w:rFonts w:ascii="Arial" w:hAnsi="Arial" w:cs="Arial"/>
          <w:sz w:val="22"/>
          <w:szCs w:val="22"/>
        </w:rPr>
        <w:lastRenderedPageBreak/>
        <w:t>In the following circumstances an earlier assessment should be considered:</w:t>
      </w:r>
    </w:p>
    <w:p w14:paraId="309F9CD3" w14:textId="77777777" w:rsidR="00C26877" w:rsidRDefault="00C26877" w:rsidP="00C26877">
      <w:pPr>
        <w:pStyle w:val="ListParagraph"/>
        <w:numPr>
          <w:ilvl w:val="2"/>
          <w:numId w:val="3"/>
        </w:numPr>
        <w:ind w:left="1276"/>
        <w:rPr>
          <w:rFonts w:ascii="Arial" w:hAnsi="Arial" w:cs="Arial"/>
          <w:sz w:val="22"/>
          <w:szCs w:val="22"/>
        </w:rPr>
      </w:pPr>
      <w:r w:rsidRPr="00A5715E">
        <w:rPr>
          <w:rFonts w:ascii="Arial" w:hAnsi="Arial" w:cs="Arial"/>
          <w:sz w:val="22"/>
          <w:szCs w:val="22"/>
        </w:rPr>
        <w:t xml:space="preserve">If the woman is aged 36 or over, then such assessment should be considered after 6 months of unprotected regular intercourse </w:t>
      </w:r>
      <w:r>
        <w:rPr>
          <w:rFonts w:ascii="Arial" w:hAnsi="Arial" w:cs="Arial"/>
          <w:sz w:val="22"/>
          <w:szCs w:val="22"/>
        </w:rPr>
        <w:t xml:space="preserve">or 6 cycles of artificial insemination (self-funded) </w:t>
      </w:r>
      <w:r w:rsidRPr="00A5715E">
        <w:rPr>
          <w:rFonts w:ascii="Arial" w:hAnsi="Arial" w:cs="Arial"/>
          <w:sz w:val="22"/>
          <w:szCs w:val="22"/>
        </w:rPr>
        <w:t xml:space="preserve">since her chances of successful conception are lower and the window of opportunity for intervention is less. </w:t>
      </w:r>
    </w:p>
    <w:p w14:paraId="1565B820" w14:textId="5EF57766" w:rsidR="00C26877" w:rsidRPr="00A5715E" w:rsidRDefault="00C26877" w:rsidP="00C26877">
      <w:pPr>
        <w:pStyle w:val="ListParagraph"/>
        <w:numPr>
          <w:ilvl w:val="2"/>
          <w:numId w:val="3"/>
        </w:numPr>
        <w:ind w:left="1276"/>
        <w:rPr>
          <w:rFonts w:ascii="Arial" w:hAnsi="Arial" w:cs="Arial"/>
          <w:sz w:val="22"/>
          <w:szCs w:val="22"/>
        </w:rPr>
      </w:pPr>
      <w:r w:rsidRPr="00A5715E">
        <w:rPr>
          <w:rFonts w:ascii="Arial" w:hAnsi="Arial" w:cs="Arial"/>
          <w:sz w:val="22"/>
          <w:szCs w:val="22"/>
        </w:rPr>
        <w:t>If there is a known clinical cause of infertility or a history of predisposing factors for infertility</w:t>
      </w:r>
      <w:r>
        <w:rPr>
          <w:rFonts w:ascii="Arial" w:hAnsi="Arial" w:cs="Arial"/>
          <w:sz w:val="22"/>
          <w:szCs w:val="22"/>
        </w:rPr>
        <w:t>.</w:t>
      </w:r>
    </w:p>
    <w:p w14:paraId="465E2D0D" w14:textId="77777777" w:rsidR="005C6801" w:rsidRDefault="005C6801" w:rsidP="00D66ED3">
      <w:pPr>
        <w:rPr>
          <w:rFonts w:ascii="Arial" w:hAnsi="Arial" w:cs="Arial"/>
          <w:sz w:val="22"/>
          <w:szCs w:val="22"/>
        </w:rPr>
      </w:pPr>
    </w:p>
    <w:p w14:paraId="068B483C" w14:textId="36434F62" w:rsidR="00FF0CC6" w:rsidRPr="00A5715E" w:rsidRDefault="00FF0CC6" w:rsidP="00FF0CC6">
      <w:pPr>
        <w:pStyle w:val="ListParagraph"/>
        <w:numPr>
          <w:ilvl w:val="1"/>
          <w:numId w:val="3"/>
        </w:numPr>
        <w:ind w:left="851" w:hanging="851"/>
        <w:rPr>
          <w:rFonts w:ascii="Arial" w:hAnsi="Arial" w:cs="Arial"/>
          <w:sz w:val="22"/>
          <w:szCs w:val="22"/>
        </w:rPr>
      </w:pPr>
      <w:r w:rsidRPr="00A5715E">
        <w:rPr>
          <w:rFonts w:ascii="Arial" w:hAnsi="Arial" w:cs="Arial"/>
          <w:sz w:val="22"/>
          <w:szCs w:val="22"/>
        </w:rPr>
        <w:t xml:space="preserve">Women should be offered </w:t>
      </w:r>
      <w:r>
        <w:rPr>
          <w:rFonts w:ascii="Arial" w:hAnsi="Arial" w:cs="Arial"/>
          <w:sz w:val="22"/>
          <w:szCs w:val="22"/>
        </w:rPr>
        <w:t xml:space="preserve">MAR </w:t>
      </w:r>
      <w:r w:rsidRPr="00A5715E">
        <w:rPr>
          <w:rFonts w:ascii="Arial" w:hAnsi="Arial" w:cs="Arial"/>
          <w:sz w:val="22"/>
          <w:szCs w:val="22"/>
        </w:rPr>
        <w:t>treatments if they have had subfertility of at least 2 years duration</w:t>
      </w:r>
      <w:r w:rsidR="001979D7">
        <w:rPr>
          <w:rFonts w:ascii="Arial" w:hAnsi="Arial" w:cs="Arial"/>
          <w:sz w:val="22"/>
          <w:szCs w:val="22"/>
        </w:rPr>
        <w:t xml:space="preserve"> </w:t>
      </w:r>
      <w:r w:rsidRPr="00A5715E">
        <w:rPr>
          <w:rFonts w:ascii="Arial" w:hAnsi="Arial" w:cs="Arial"/>
          <w:sz w:val="22"/>
          <w:szCs w:val="22"/>
        </w:rPr>
        <w:t xml:space="preserve">(12 months for women aged 36 and over) – this includes the initial 12-month period before the initial assessment. </w:t>
      </w:r>
      <w:r>
        <w:rPr>
          <w:rFonts w:ascii="Arial" w:hAnsi="Arial" w:cs="Arial"/>
          <w:sz w:val="22"/>
          <w:szCs w:val="22"/>
        </w:rPr>
        <w:t xml:space="preserve"> </w:t>
      </w:r>
      <w:r w:rsidRPr="00A5715E">
        <w:rPr>
          <w:rFonts w:ascii="Arial" w:hAnsi="Arial" w:cs="Arial"/>
          <w:sz w:val="22"/>
          <w:szCs w:val="22"/>
        </w:rPr>
        <w:t xml:space="preserve">Additional criteria apply for IVF in women aged 40–42 (see </w:t>
      </w:r>
      <w:r w:rsidRPr="00702588">
        <w:rPr>
          <w:rFonts w:ascii="Arial" w:hAnsi="Arial" w:cs="Arial"/>
          <w:sz w:val="22"/>
          <w:szCs w:val="22"/>
          <w:highlight w:val="yellow"/>
        </w:rPr>
        <w:t xml:space="preserve">paragraph </w:t>
      </w:r>
      <w:r w:rsidR="00CC7605" w:rsidRPr="0083215B">
        <w:rPr>
          <w:rFonts w:ascii="Arial" w:hAnsi="Arial" w:cs="Arial"/>
          <w:sz w:val="22"/>
          <w:szCs w:val="22"/>
          <w:highlight w:val="yellow"/>
        </w:rPr>
        <w:t>1</w:t>
      </w:r>
      <w:r w:rsidR="0083215B" w:rsidRPr="0083215B">
        <w:rPr>
          <w:rFonts w:ascii="Arial" w:hAnsi="Arial" w:cs="Arial"/>
          <w:sz w:val="22"/>
          <w:szCs w:val="22"/>
          <w:highlight w:val="yellow"/>
        </w:rPr>
        <w:t>2</w:t>
      </w:r>
      <w:r w:rsidR="00CC7605" w:rsidRPr="0083215B">
        <w:rPr>
          <w:rFonts w:ascii="Arial" w:hAnsi="Arial" w:cs="Arial"/>
          <w:sz w:val="22"/>
          <w:szCs w:val="22"/>
          <w:highlight w:val="yellow"/>
        </w:rPr>
        <w:t>.6</w:t>
      </w:r>
      <w:r w:rsidRPr="00A5715E">
        <w:rPr>
          <w:rFonts w:ascii="Arial" w:hAnsi="Arial" w:cs="Arial"/>
          <w:sz w:val="22"/>
          <w:szCs w:val="22"/>
        </w:rPr>
        <w:t xml:space="preserve">). </w:t>
      </w:r>
    </w:p>
    <w:p w14:paraId="19DC868F" w14:textId="77777777" w:rsidR="00FF0CC6" w:rsidRDefault="00FF0CC6" w:rsidP="00E633EA">
      <w:pPr>
        <w:rPr>
          <w:rFonts w:ascii="Arial" w:hAnsi="Arial" w:cs="Arial"/>
          <w:sz w:val="22"/>
          <w:szCs w:val="22"/>
        </w:rPr>
      </w:pPr>
    </w:p>
    <w:p w14:paraId="6CB6968E" w14:textId="091E3ABB" w:rsidR="009A7AEA" w:rsidRPr="00A5715E" w:rsidRDefault="009A7AEA" w:rsidP="009A7AEA">
      <w:pPr>
        <w:pStyle w:val="ListParagraph"/>
        <w:numPr>
          <w:ilvl w:val="1"/>
          <w:numId w:val="3"/>
        </w:numPr>
        <w:ind w:left="851" w:hanging="851"/>
        <w:rPr>
          <w:rFonts w:ascii="Arial" w:hAnsi="Arial" w:cs="Arial"/>
          <w:sz w:val="22"/>
          <w:szCs w:val="22"/>
        </w:rPr>
      </w:pPr>
      <w:r w:rsidRPr="00A5715E">
        <w:rPr>
          <w:rFonts w:ascii="Arial" w:hAnsi="Arial" w:cs="Arial"/>
          <w:sz w:val="22"/>
          <w:szCs w:val="22"/>
        </w:rPr>
        <w:t xml:space="preserve">This policy adopts NICE guidance that access to high level treatments including IVF should be offered to women up to the age of </w:t>
      </w:r>
      <w:r w:rsidR="00C86922">
        <w:rPr>
          <w:rFonts w:ascii="Arial" w:hAnsi="Arial" w:cs="Arial"/>
          <w:sz w:val="22"/>
          <w:szCs w:val="22"/>
        </w:rPr>
        <w:t>=</w:t>
      </w:r>
      <w:r w:rsidRPr="00A5715E">
        <w:rPr>
          <w:rFonts w:ascii="Arial" w:hAnsi="Arial" w:cs="Arial"/>
          <w:sz w:val="22"/>
          <w:szCs w:val="22"/>
        </w:rPr>
        <w:t>42 years. First treatment cycles must be commenced before the woman’s 43</w:t>
      </w:r>
      <w:r w:rsidRPr="00313301">
        <w:rPr>
          <w:rFonts w:ascii="Arial" w:hAnsi="Arial" w:cs="Arial"/>
          <w:sz w:val="22"/>
          <w:szCs w:val="22"/>
          <w:vertAlign w:val="superscript"/>
        </w:rPr>
        <w:t>rd</w:t>
      </w:r>
      <w:r>
        <w:rPr>
          <w:rFonts w:ascii="Arial" w:hAnsi="Arial" w:cs="Arial"/>
          <w:sz w:val="22"/>
          <w:szCs w:val="22"/>
        </w:rPr>
        <w:t xml:space="preserve"> </w:t>
      </w:r>
      <w:r w:rsidRPr="00A5715E">
        <w:rPr>
          <w:rFonts w:ascii="Arial" w:hAnsi="Arial" w:cs="Arial"/>
          <w:sz w:val="22"/>
          <w:szCs w:val="22"/>
        </w:rPr>
        <w:t>birthday.</w:t>
      </w:r>
    </w:p>
    <w:p w14:paraId="33BAC856" w14:textId="77777777" w:rsidR="009A7AEA" w:rsidRDefault="009A7AEA" w:rsidP="009A7AEA">
      <w:pPr>
        <w:pStyle w:val="ListParagraph"/>
        <w:ind w:left="851"/>
        <w:rPr>
          <w:rFonts w:ascii="Arial" w:hAnsi="Arial" w:cs="Arial"/>
          <w:sz w:val="22"/>
          <w:szCs w:val="22"/>
        </w:rPr>
      </w:pPr>
    </w:p>
    <w:p w14:paraId="1FA463BC" w14:textId="77777777" w:rsidR="009A7AEA" w:rsidRPr="00A5715E" w:rsidRDefault="009A7AEA" w:rsidP="009A7AEA">
      <w:pPr>
        <w:pStyle w:val="ListParagraph"/>
        <w:numPr>
          <w:ilvl w:val="1"/>
          <w:numId w:val="3"/>
        </w:numPr>
        <w:ind w:left="851" w:hanging="851"/>
        <w:rPr>
          <w:rFonts w:ascii="Arial" w:hAnsi="Arial" w:cs="Arial"/>
          <w:sz w:val="22"/>
          <w:szCs w:val="22"/>
        </w:rPr>
      </w:pPr>
      <w:r w:rsidRPr="00A5715E">
        <w:rPr>
          <w:rFonts w:ascii="Arial" w:hAnsi="Arial" w:cs="Arial"/>
          <w:sz w:val="22"/>
          <w:szCs w:val="22"/>
        </w:rPr>
        <w:t>Women will be offered treatment provided their hormonal profile is satisfactory i.e. in line with NICE CG156.</w:t>
      </w:r>
    </w:p>
    <w:p w14:paraId="0092EAA2" w14:textId="77777777" w:rsidR="009A7AEA" w:rsidRPr="00A5715E" w:rsidRDefault="009A7AEA" w:rsidP="009A7AEA">
      <w:pPr>
        <w:ind w:left="851"/>
        <w:rPr>
          <w:rFonts w:ascii="Arial" w:hAnsi="Arial" w:cs="Arial"/>
          <w:sz w:val="22"/>
          <w:szCs w:val="22"/>
        </w:rPr>
      </w:pPr>
      <w:hyperlink r:id="rId20" w:history="1">
        <w:r w:rsidRPr="00A5715E">
          <w:rPr>
            <w:rStyle w:val="Hyperlink"/>
            <w:rFonts w:ascii="Arial" w:hAnsi="Arial" w:cs="Arial"/>
            <w:sz w:val="22"/>
            <w:szCs w:val="22"/>
          </w:rPr>
          <w:t>https://www.nice.org.uk/guidance/cg156</w:t>
        </w:r>
      </w:hyperlink>
      <w:r w:rsidRPr="00A5715E">
        <w:rPr>
          <w:rFonts w:ascii="Arial" w:hAnsi="Arial" w:cs="Arial"/>
          <w:sz w:val="22"/>
          <w:szCs w:val="22"/>
        </w:rPr>
        <w:t xml:space="preserve"> </w:t>
      </w:r>
    </w:p>
    <w:p w14:paraId="1F3FF955" w14:textId="77777777" w:rsidR="009A7AEA" w:rsidRPr="00A5715E" w:rsidRDefault="009A7AEA" w:rsidP="009A7AEA">
      <w:pPr>
        <w:ind w:left="851"/>
        <w:rPr>
          <w:rFonts w:ascii="Arial" w:hAnsi="Arial" w:cs="Arial"/>
          <w:sz w:val="22"/>
          <w:szCs w:val="22"/>
        </w:rPr>
      </w:pPr>
      <w:hyperlink r:id="rId21" w:history="1">
        <w:r w:rsidRPr="00A5715E">
          <w:rPr>
            <w:rStyle w:val="Hyperlink"/>
            <w:rFonts w:ascii="Arial" w:hAnsi="Arial" w:cs="Arial"/>
            <w:sz w:val="22"/>
            <w:szCs w:val="22"/>
          </w:rPr>
          <w:t>https://www.nice.org.uk/guidance/cg156/evidence/full-guideline-pdf-188539453</w:t>
        </w:r>
      </w:hyperlink>
      <w:r w:rsidRPr="00A5715E">
        <w:rPr>
          <w:rFonts w:ascii="Arial" w:hAnsi="Arial" w:cs="Arial"/>
          <w:sz w:val="22"/>
          <w:szCs w:val="22"/>
        </w:rPr>
        <w:t xml:space="preserve"> </w:t>
      </w:r>
    </w:p>
    <w:p w14:paraId="4B17391F" w14:textId="77777777" w:rsidR="00B922DD" w:rsidRDefault="00B922DD" w:rsidP="00E633EA">
      <w:pPr>
        <w:rPr>
          <w:rFonts w:ascii="Arial" w:hAnsi="Arial" w:cs="Arial"/>
          <w:sz w:val="22"/>
          <w:szCs w:val="22"/>
        </w:rPr>
      </w:pPr>
    </w:p>
    <w:p w14:paraId="61EB18CC" w14:textId="13CFCCCE" w:rsidR="001F1290" w:rsidRPr="001F1290" w:rsidRDefault="001F1290" w:rsidP="001F1290">
      <w:pPr>
        <w:pStyle w:val="Heading2"/>
        <w:numPr>
          <w:ilvl w:val="0"/>
          <w:numId w:val="3"/>
        </w:numPr>
        <w:ind w:left="851" w:hanging="851"/>
        <w:rPr>
          <w:rFonts w:eastAsiaTheme="minorHAnsi" w:cs="Arial"/>
          <w:b/>
          <w:bCs/>
          <w:sz w:val="36"/>
          <w:szCs w:val="36"/>
          <w:lang w:eastAsia="en-US"/>
        </w:rPr>
      </w:pPr>
      <w:bookmarkStart w:id="5" w:name="_Toc199755653"/>
      <w:r w:rsidRPr="001F1290">
        <w:rPr>
          <w:rFonts w:eastAsiaTheme="minorHAnsi" w:cs="Arial"/>
          <w:b/>
          <w:bCs/>
          <w:sz w:val="36"/>
          <w:szCs w:val="36"/>
          <w:lang w:eastAsia="en-US"/>
        </w:rPr>
        <w:t>Same sex couples and single women</w:t>
      </w:r>
      <w:bookmarkEnd w:id="5"/>
    </w:p>
    <w:p w14:paraId="2D5EAAA6" w14:textId="77777777" w:rsidR="001F1290" w:rsidRDefault="001F1290" w:rsidP="00E633EA">
      <w:pPr>
        <w:rPr>
          <w:rFonts w:ascii="Arial" w:hAnsi="Arial" w:cs="Arial"/>
          <w:sz w:val="22"/>
          <w:szCs w:val="22"/>
        </w:rPr>
      </w:pPr>
    </w:p>
    <w:p w14:paraId="2D97CF95" w14:textId="07F29DE5" w:rsidR="00D46E26" w:rsidRPr="00D46E26" w:rsidRDefault="00D46E26" w:rsidP="00D46E26">
      <w:pPr>
        <w:pStyle w:val="ListParagraph"/>
        <w:numPr>
          <w:ilvl w:val="1"/>
          <w:numId w:val="3"/>
        </w:numPr>
        <w:ind w:left="851" w:hanging="851"/>
        <w:rPr>
          <w:rFonts w:ascii="Arial" w:hAnsi="Arial" w:cs="Arial"/>
          <w:sz w:val="22"/>
          <w:szCs w:val="22"/>
        </w:rPr>
      </w:pPr>
      <w:r w:rsidRPr="00D46E26">
        <w:rPr>
          <w:rFonts w:ascii="Arial" w:hAnsi="Arial" w:cs="Arial"/>
          <w:sz w:val="22"/>
          <w:szCs w:val="22"/>
        </w:rPr>
        <w:t xml:space="preserve">This policy is intended, as per NICE guidance, for people who have a possible pathological problem (physical or psychological) to explain their subfertility. </w:t>
      </w:r>
    </w:p>
    <w:p w14:paraId="34034B9D" w14:textId="78816856" w:rsidR="00D46E26" w:rsidRPr="00D46E26" w:rsidRDefault="00D46E26" w:rsidP="00D46E26">
      <w:pPr>
        <w:rPr>
          <w:rFonts w:ascii="Arial" w:hAnsi="Arial" w:cs="Arial"/>
          <w:sz w:val="22"/>
          <w:szCs w:val="22"/>
        </w:rPr>
      </w:pPr>
    </w:p>
    <w:p w14:paraId="7D78A09F" w14:textId="3945E029" w:rsidR="00D46E26" w:rsidRPr="00D46E26" w:rsidRDefault="00D46E26" w:rsidP="00D46E26">
      <w:pPr>
        <w:pStyle w:val="ListParagraph"/>
        <w:numPr>
          <w:ilvl w:val="1"/>
          <w:numId w:val="3"/>
        </w:numPr>
        <w:ind w:left="851" w:hanging="851"/>
        <w:rPr>
          <w:rFonts w:ascii="Arial" w:hAnsi="Arial" w:cs="Arial"/>
          <w:sz w:val="22"/>
          <w:szCs w:val="22"/>
        </w:rPr>
      </w:pPr>
      <w:r w:rsidRPr="00D46E26">
        <w:rPr>
          <w:rFonts w:ascii="Arial" w:hAnsi="Arial" w:cs="Arial"/>
          <w:sz w:val="22"/>
          <w:szCs w:val="22"/>
        </w:rPr>
        <w:t>Same sex couples and single women undergoing artificial insemination must have received at least 6 self-funded cycles of unstimulated, intrauterine insemination in a clinical setting before they become eligible for NHS care. The ICB will then fund a further 6 cycles of unstimulated intrauterine insemination before IVF is considered. This gives a total of 12 cycles which is considered equivalent to 2 years of unprotected vaginal intercourse.</w:t>
      </w:r>
    </w:p>
    <w:p w14:paraId="2126DE7A" w14:textId="77777777" w:rsidR="00B922DD" w:rsidRPr="00E673B5" w:rsidRDefault="00B922DD" w:rsidP="00E673B5">
      <w:pPr>
        <w:rPr>
          <w:rFonts w:ascii="Arial" w:hAnsi="Arial" w:cs="Arial"/>
          <w:sz w:val="22"/>
          <w:szCs w:val="22"/>
        </w:rPr>
      </w:pPr>
    </w:p>
    <w:p w14:paraId="0BDE9839" w14:textId="4A0001BD" w:rsidR="0021750D" w:rsidRPr="0021750D" w:rsidRDefault="0021750D" w:rsidP="001C71E6">
      <w:pPr>
        <w:pStyle w:val="Heading2"/>
        <w:numPr>
          <w:ilvl w:val="0"/>
          <w:numId w:val="3"/>
        </w:numPr>
        <w:ind w:left="851" w:hanging="851"/>
        <w:rPr>
          <w:rFonts w:eastAsiaTheme="minorHAnsi" w:cs="Arial"/>
          <w:b/>
          <w:bCs/>
          <w:sz w:val="36"/>
          <w:szCs w:val="36"/>
          <w:lang w:eastAsia="en-US"/>
        </w:rPr>
      </w:pPr>
      <w:bookmarkStart w:id="6" w:name="_Toc199755654"/>
      <w:r w:rsidRPr="0021750D">
        <w:rPr>
          <w:rFonts w:eastAsiaTheme="minorHAnsi" w:cs="Arial"/>
          <w:b/>
          <w:bCs/>
          <w:sz w:val="36"/>
          <w:szCs w:val="36"/>
          <w:lang w:eastAsia="en-US"/>
        </w:rPr>
        <w:t>Overseas Visitors</w:t>
      </w:r>
      <w:bookmarkEnd w:id="6"/>
    </w:p>
    <w:p w14:paraId="71D048D9" w14:textId="77777777" w:rsidR="0021750D" w:rsidRPr="0021750D" w:rsidRDefault="0021750D" w:rsidP="0021750D">
      <w:pPr>
        <w:rPr>
          <w:rFonts w:ascii="Arial" w:hAnsi="Arial" w:cs="Arial"/>
          <w:sz w:val="22"/>
          <w:szCs w:val="22"/>
        </w:rPr>
      </w:pPr>
    </w:p>
    <w:p w14:paraId="758279B4" w14:textId="7D4F99E8" w:rsidR="0021750D" w:rsidRPr="00243EAF" w:rsidRDefault="0021750D" w:rsidP="0021750D">
      <w:pPr>
        <w:pStyle w:val="ListParagraph"/>
        <w:numPr>
          <w:ilvl w:val="1"/>
          <w:numId w:val="3"/>
        </w:numPr>
        <w:ind w:left="851" w:hanging="851"/>
        <w:rPr>
          <w:rFonts w:ascii="Arial" w:hAnsi="Arial" w:cs="Arial"/>
          <w:sz w:val="22"/>
          <w:szCs w:val="22"/>
        </w:rPr>
      </w:pPr>
      <w:r w:rsidRPr="00243EAF">
        <w:rPr>
          <w:rFonts w:ascii="Arial" w:hAnsi="Arial" w:cs="Arial"/>
          <w:sz w:val="22"/>
          <w:szCs w:val="22"/>
        </w:rPr>
        <w:t>An individual ordinarily resident in the UK is eligible for NHS funded fertility treatment.</w:t>
      </w:r>
    </w:p>
    <w:p w14:paraId="2983D4AB" w14:textId="77777777" w:rsidR="0021750D" w:rsidRPr="00243EAF" w:rsidRDefault="0021750D" w:rsidP="0021750D">
      <w:pPr>
        <w:rPr>
          <w:rFonts w:ascii="Arial" w:hAnsi="Arial" w:cs="Arial"/>
          <w:sz w:val="22"/>
          <w:szCs w:val="22"/>
        </w:rPr>
      </w:pPr>
    </w:p>
    <w:p w14:paraId="41827BB6" w14:textId="77777777" w:rsidR="0021750D" w:rsidRPr="00243EAF" w:rsidRDefault="0021750D" w:rsidP="0021750D">
      <w:pPr>
        <w:pStyle w:val="ListParagraph"/>
        <w:numPr>
          <w:ilvl w:val="1"/>
          <w:numId w:val="3"/>
        </w:numPr>
        <w:ind w:left="851" w:hanging="851"/>
        <w:rPr>
          <w:rFonts w:ascii="Arial" w:hAnsi="Arial" w:cs="Arial"/>
          <w:sz w:val="22"/>
          <w:szCs w:val="22"/>
        </w:rPr>
      </w:pPr>
      <w:r w:rsidRPr="00243EAF">
        <w:rPr>
          <w:rFonts w:ascii="Arial" w:hAnsi="Arial" w:cs="Arial"/>
          <w:sz w:val="22"/>
          <w:szCs w:val="22"/>
        </w:rPr>
        <w:t>Overseas visitors coming to, or remaining in, the UK for six months or more are usually required to pay the immigration health charge (referred to as the health surcharge, or IHS) unless an exemption from paying the surcharge applies or the charge is waived.</w:t>
      </w:r>
    </w:p>
    <w:p w14:paraId="45D0DBEB" w14:textId="77777777" w:rsidR="0021750D" w:rsidRPr="00243EAF" w:rsidRDefault="0021750D" w:rsidP="0021750D">
      <w:pPr>
        <w:rPr>
          <w:rFonts w:ascii="Arial" w:hAnsi="Arial" w:cs="Arial"/>
          <w:sz w:val="22"/>
          <w:szCs w:val="22"/>
        </w:rPr>
      </w:pPr>
    </w:p>
    <w:p w14:paraId="7891A84D" w14:textId="77777777" w:rsidR="0021750D" w:rsidRPr="00243EAF" w:rsidRDefault="0021750D" w:rsidP="0021750D">
      <w:pPr>
        <w:pStyle w:val="ListParagraph"/>
        <w:numPr>
          <w:ilvl w:val="1"/>
          <w:numId w:val="3"/>
        </w:numPr>
        <w:ind w:left="851" w:hanging="851"/>
        <w:rPr>
          <w:rFonts w:ascii="Arial" w:hAnsi="Arial" w:cs="Arial"/>
          <w:sz w:val="22"/>
          <w:szCs w:val="22"/>
        </w:rPr>
      </w:pPr>
      <w:r w:rsidRPr="00243EAF">
        <w:rPr>
          <w:rFonts w:ascii="Arial" w:hAnsi="Arial" w:cs="Arial"/>
          <w:sz w:val="22"/>
          <w:szCs w:val="22"/>
        </w:rPr>
        <w:t xml:space="preserve">IVF is excluded from the list of NHS treatments overseas visitors can access, even if the above surcharge is paid. </w:t>
      </w:r>
    </w:p>
    <w:p w14:paraId="06F27B53" w14:textId="77777777" w:rsidR="0021750D" w:rsidRPr="00243EAF" w:rsidRDefault="0021750D" w:rsidP="0021750D">
      <w:pPr>
        <w:rPr>
          <w:rFonts w:ascii="Arial" w:hAnsi="Arial" w:cs="Arial"/>
          <w:sz w:val="22"/>
          <w:szCs w:val="22"/>
        </w:rPr>
      </w:pPr>
    </w:p>
    <w:p w14:paraId="1F71E19E" w14:textId="77777777" w:rsidR="0021750D" w:rsidRPr="00243EAF" w:rsidRDefault="0021750D" w:rsidP="0021750D">
      <w:pPr>
        <w:pStyle w:val="ListParagraph"/>
        <w:numPr>
          <w:ilvl w:val="1"/>
          <w:numId w:val="3"/>
        </w:numPr>
        <w:ind w:left="851" w:hanging="851"/>
        <w:rPr>
          <w:rFonts w:ascii="Arial" w:hAnsi="Arial" w:cs="Arial"/>
          <w:sz w:val="22"/>
          <w:szCs w:val="22"/>
        </w:rPr>
      </w:pPr>
      <w:r w:rsidRPr="00243EAF">
        <w:rPr>
          <w:rFonts w:ascii="Arial" w:hAnsi="Arial" w:cs="Arial"/>
          <w:sz w:val="22"/>
          <w:szCs w:val="22"/>
        </w:rPr>
        <w:t xml:space="preserve">Where a non-resident wishes to access IVF, they should be charged 150% of the National NHS tariff (or locally agreed price where applicable). IVF treatment charges should be made in advance of any treatment being given. </w:t>
      </w:r>
    </w:p>
    <w:p w14:paraId="6EE9224B" w14:textId="77777777" w:rsidR="0021750D" w:rsidRPr="00243EAF" w:rsidRDefault="0021750D" w:rsidP="0021750D">
      <w:pPr>
        <w:rPr>
          <w:rFonts w:ascii="Arial" w:hAnsi="Arial" w:cs="Arial"/>
          <w:sz w:val="22"/>
          <w:szCs w:val="22"/>
        </w:rPr>
      </w:pPr>
    </w:p>
    <w:p w14:paraId="00D5846C" w14:textId="77777777" w:rsidR="0021750D" w:rsidRPr="00243EAF" w:rsidRDefault="0021750D" w:rsidP="0021750D">
      <w:pPr>
        <w:pStyle w:val="ListParagraph"/>
        <w:numPr>
          <w:ilvl w:val="1"/>
          <w:numId w:val="3"/>
        </w:numPr>
        <w:ind w:left="851" w:hanging="851"/>
        <w:rPr>
          <w:rFonts w:ascii="Arial" w:hAnsi="Arial" w:cs="Arial"/>
          <w:sz w:val="22"/>
          <w:szCs w:val="22"/>
        </w:rPr>
      </w:pPr>
      <w:r w:rsidRPr="00243EAF">
        <w:rPr>
          <w:rFonts w:ascii="Arial" w:hAnsi="Arial" w:cs="Arial"/>
          <w:sz w:val="22"/>
          <w:szCs w:val="22"/>
        </w:rPr>
        <w:t xml:space="preserve">If care is deemed an emergency by the Fertility Consultant, the provider and ICB can enter a risk share scheme and split 50% of the costs each. </w:t>
      </w:r>
    </w:p>
    <w:p w14:paraId="1A45C960" w14:textId="77777777" w:rsidR="0021750D" w:rsidRPr="0070763F" w:rsidRDefault="0021750D" w:rsidP="0021750D">
      <w:pPr>
        <w:rPr>
          <w:rFonts w:ascii="Arial" w:hAnsi="Arial" w:cs="Arial"/>
          <w:sz w:val="22"/>
          <w:szCs w:val="22"/>
        </w:rPr>
      </w:pPr>
    </w:p>
    <w:p w14:paraId="024B2CD0" w14:textId="77777777" w:rsidR="0021750D" w:rsidRPr="0070763F" w:rsidRDefault="0021750D" w:rsidP="0021750D">
      <w:pPr>
        <w:pStyle w:val="ListParagraph"/>
        <w:numPr>
          <w:ilvl w:val="1"/>
          <w:numId w:val="3"/>
        </w:numPr>
        <w:ind w:left="851" w:hanging="851"/>
        <w:rPr>
          <w:rFonts w:ascii="Arial" w:hAnsi="Arial" w:cs="Arial"/>
          <w:sz w:val="22"/>
          <w:szCs w:val="22"/>
        </w:rPr>
      </w:pPr>
      <w:r w:rsidRPr="0070763F">
        <w:rPr>
          <w:rFonts w:ascii="Arial" w:hAnsi="Arial" w:cs="Arial"/>
          <w:sz w:val="22"/>
          <w:szCs w:val="22"/>
        </w:rPr>
        <w:t>Current Guidance on Overseas Visitors and Eligibility can be found using the following link</w:t>
      </w:r>
      <w:r w:rsidRPr="0070763F">
        <w:rPr>
          <w:rFonts w:ascii="Arial" w:hAnsi="Arial" w:cs="Arial"/>
          <w:bCs/>
          <w:sz w:val="22"/>
          <w:szCs w:val="22"/>
        </w:rPr>
        <w:t xml:space="preserve"> </w:t>
      </w:r>
      <w:hyperlink r:id="rId22" w:history="1">
        <w:r w:rsidRPr="0070763F">
          <w:rPr>
            <w:rStyle w:val="Hyperlink"/>
            <w:rFonts w:ascii="Arial" w:hAnsi="Arial" w:cs="Arial"/>
            <w:sz w:val="22"/>
            <w:szCs w:val="22"/>
          </w:rPr>
          <w:t>https://www.gov.uk/government/publications/nhs-cost-recovery-overseas-visitors</w:t>
        </w:r>
      </w:hyperlink>
      <w:r w:rsidRPr="004F09D8">
        <w:rPr>
          <w:rFonts w:ascii="Arial" w:hAnsi="Arial" w:cs="Arial"/>
          <w:sz w:val="22"/>
          <w:szCs w:val="22"/>
        </w:rPr>
        <w:t>.</w:t>
      </w:r>
    </w:p>
    <w:p w14:paraId="139D494D" w14:textId="77777777" w:rsidR="0021750D" w:rsidRDefault="0021750D" w:rsidP="00E633EA">
      <w:pPr>
        <w:rPr>
          <w:rFonts w:ascii="Arial" w:hAnsi="Arial" w:cs="Arial"/>
          <w:sz w:val="22"/>
          <w:szCs w:val="22"/>
        </w:rPr>
      </w:pPr>
    </w:p>
    <w:p w14:paraId="5FA74DAA" w14:textId="77777777" w:rsidR="00421000" w:rsidRDefault="00421000" w:rsidP="00E633EA">
      <w:pPr>
        <w:rPr>
          <w:rFonts w:ascii="Arial" w:hAnsi="Arial" w:cs="Arial"/>
          <w:sz w:val="22"/>
          <w:szCs w:val="22"/>
        </w:rPr>
      </w:pPr>
    </w:p>
    <w:p w14:paraId="3D2E31DF" w14:textId="77777777" w:rsidR="00421000" w:rsidRDefault="00421000" w:rsidP="00E633EA">
      <w:pPr>
        <w:rPr>
          <w:rFonts w:ascii="Arial" w:hAnsi="Arial" w:cs="Arial"/>
          <w:sz w:val="22"/>
          <w:szCs w:val="22"/>
        </w:rPr>
      </w:pPr>
    </w:p>
    <w:p w14:paraId="32934E8D" w14:textId="77777777" w:rsidR="00B922DD" w:rsidRDefault="00B922DD" w:rsidP="00E633EA">
      <w:pPr>
        <w:rPr>
          <w:rFonts w:ascii="Arial" w:hAnsi="Arial" w:cs="Arial"/>
          <w:sz w:val="22"/>
          <w:szCs w:val="22"/>
        </w:rPr>
      </w:pPr>
    </w:p>
    <w:p w14:paraId="2A608F20" w14:textId="57D6BB30" w:rsidR="005F2E44" w:rsidRPr="00B12705" w:rsidRDefault="00C03699" w:rsidP="000C46ED">
      <w:pPr>
        <w:pStyle w:val="Heading2"/>
        <w:numPr>
          <w:ilvl w:val="0"/>
          <w:numId w:val="3"/>
        </w:numPr>
        <w:ind w:left="851" w:hanging="851"/>
        <w:rPr>
          <w:rFonts w:eastAsiaTheme="minorHAnsi" w:cs="Arial"/>
          <w:b/>
          <w:bCs/>
          <w:sz w:val="36"/>
          <w:szCs w:val="36"/>
          <w:lang w:eastAsia="en-US"/>
        </w:rPr>
      </w:pPr>
      <w:bookmarkStart w:id="7" w:name="_Toc199755655"/>
      <w:r>
        <w:rPr>
          <w:rFonts w:eastAsiaTheme="minorHAnsi" w:cs="Arial"/>
          <w:b/>
          <w:bCs/>
          <w:sz w:val="36"/>
          <w:szCs w:val="36"/>
          <w:lang w:eastAsia="en-US"/>
        </w:rPr>
        <w:t>Childlessness (</w:t>
      </w:r>
      <w:r w:rsidR="00C20AA6">
        <w:rPr>
          <w:rFonts w:eastAsiaTheme="minorHAnsi" w:cs="Arial"/>
          <w:b/>
          <w:bCs/>
          <w:sz w:val="36"/>
          <w:szCs w:val="36"/>
          <w:lang w:eastAsia="en-US"/>
        </w:rPr>
        <w:t>c</w:t>
      </w:r>
      <w:r w:rsidR="00AB266D">
        <w:rPr>
          <w:rFonts w:eastAsiaTheme="minorHAnsi" w:cs="Arial"/>
          <w:b/>
          <w:bCs/>
          <w:sz w:val="36"/>
          <w:szCs w:val="36"/>
          <w:lang w:eastAsia="en-US"/>
        </w:rPr>
        <w:t xml:space="preserve">urrent or </w:t>
      </w:r>
      <w:r w:rsidR="00C20AA6">
        <w:rPr>
          <w:rFonts w:eastAsiaTheme="minorHAnsi" w:cs="Arial"/>
          <w:b/>
          <w:bCs/>
          <w:sz w:val="36"/>
          <w:szCs w:val="36"/>
          <w:lang w:eastAsia="en-US"/>
        </w:rPr>
        <w:t>p</w:t>
      </w:r>
      <w:r w:rsidR="00262698">
        <w:rPr>
          <w:rFonts w:eastAsiaTheme="minorHAnsi" w:cs="Arial"/>
          <w:b/>
          <w:bCs/>
          <w:sz w:val="36"/>
          <w:szCs w:val="36"/>
          <w:lang w:eastAsia="en-US"/>
        </w:rPr>
        <w:t xml:space="preserve">revious </w:t>
      </w:r>
      <w:r w:rsidR="00C20AA6">
        <w:rPr>
          <w:rFonts w:eastAsiaTheme="minorHAnsi" w:cs="Arial"/>
          <w:b/>
          <w:bCs/>
          <w:sz w:val="36"/>
          <w:szCs w:val="36"/>
          <w:lang w:eastAsia="en-US"/>
        </w:rPr>
        <w:t>c</w:t>
      </w:r>
      <w:r w:rsidR="00262698">
        <w:rPr>
          <w:rFonts w:eastAsiaTheme="minorHAnsi" w:cs="Arial"/>
          <w:b/>
          <w:bCs/>
          <w:sz w:val="36"/>
          <w:szCs w:val="36"/>
          <w:lang w:eastAsia="en-US"/>
        </w:rPr>
        <w:t>hildren</w:t>
      </w:r>
      <w:r>
        <w:rPr>
          <w:rFonts w:eastAsiaTheme="minorHAnsi" w:cs="Arial"/>
          <w:b/>
          <w:bCs/>
          <w:sz w:val="36"/>
          <w:szCs w:val="36"/>
          <w:lang w:eastAsia="en-US"/>
        </w:rPr>
        <w:t>)</w:t>
      </w:r>
      <w:bookmarkEnd w:id="7"/>
      <w:r w:rsidR="00262698" w:rsidRPr="00B12705">
        <w:rPr>
          <w:rFonts w:eastAsiaTheme="minorHAnsi" w:cs="Arial"/>
          <w:b/>
          <w:bCs/>
          <w:sz w:val="36"/>
          <w:szCs w:val="36"/>
          <w:lang w:eastAsia="en-US"/>
        </w:rPr>
        <w:t xml:space="preserve"> </w:t>
      </w:r>
    </w:p>
    <w:p w14:paraId="555F7698" w14:textId="77777777" w:rsidR="005F2E44" w:rsidRPr="00242C1B" w:rsidRDefault="005F2E44" w:rsidP="00242C1B">
      <w:pPr>
        <w:rPr>
          <w:rFonts w:ascii="Arial" w:hAnsi="Arial" w:cs="Arial"/>
          <w:sz w:val="22"/>
          <w:szCs w:val="22"/>
        </w:rPr>
      </w:pPr>
    </w:p>
    <w:p w14:paraId="4A55995B" w14:textId="6373F9DE" w:rsidR="005F2E44" w:rsidRPr="00242C1B" w:rsidRDefault="005F2E44" w:rsidP="000C46ED">
      <w:pPr>
        <w:pStyle w:val="ListParagraph"/>
        <w:numPr>
          <w:ilvl w:val="1"/>
          <w:numId w:val="3"/>
        </w:numPr>
        <w:ind w:left="851" w:hanging="851"/>
        <w:rPr>
          <w:rFonts w:ascii="Arial" w:hAnsi="Arial" w:cs="Arial"/>
          <w:sz w:val="22"/>
          <w:szCs w:val="22"/>
        </w:rPr>
      </w:pPr>
      <w:r w:rsidRPr="00242C1B">
        <w:rPr>
          <w:rFonts w:ascii="Arial" w:hAnsi="Arial" w:cs="Arial"/>
          <w:sz w:val="22"/>
          <w:szCs w:val="22"/>
        </w:rPr>
        <w:t xml:space="preserve">Funding will be made available where a couple have no living children from a current or any previous relationship i.e. if there is a previous living child from a current or previous relationship, then patients are excluded from subfertility treatment. </w:t>
      </w:r>
    </w:p>
    <w:p w14:paraId="50E926BA" w14:textId="77777777" w:rsidR="005F2E44" w:rsidRPr="00242C1B" w:rsidRDefault="005F2E44" w:rsidP="00242C1B">
      <w:pPr>
        <w:rPr>
          <w:rFonts w:ascii="Arial" w:hAnsi="Arial" w:cs="Arial"/>
          <w:sz w:val="22"/>
          <w:szCs w:val="22"/>
        </w:rPr>
      </w:pPr>
    </w:p>
    <w:p w14:paraId="1B7F9247" w14:textId="2ECABA3E" w:rsidR="005F2E44" w:rsidRPr="00242C1B" w:rsidRDefault="005F2E44" w:rsidP="000C46ED">
      <w:pPr>
        <w:pStyle w:val="ListParagraph"/>
        <w:numPr>
          <w:ilvl w:val="1"/>
          <w:numId w:val="3"/>
        </w:numPr>
        <w:ind w:left="851" w:hanging="851"/>
        <w:rPr>
          <w:rFonts w:ascii="Arial" w:hAnsi="Arial" w:cs="Arial"/>
          <w:sz w:val="22"/>
          <w:szCs w:val="22"/>
        </w:rPr>
      </w:pPr>
      <w:r w:rsidRPr="00242C1B">
        <w:rPr>
          <w:rFonts w:ascii="Arial" w:hAnsi="Arial" w:cs="Arial"/>
          <w:sz w:val="22"/>
          <w:szCs w:val="22"/>
        </w:rPr>
        <w:t>A child adopted by a patient or adopted in a previous relationship is considered to have the same status as a biological child.</w:t>
      </w:r>
    </w:p>
    <w:p w14:paraId="081B6611" w14:textId="1AA9723C" w:rsidR="005F2E44" w:rsidRPr="00242C1B" w:rsidRDefault="005F2E44" w:rsidP="00242C1B">
      <w:pPr>
        <w:rPr>
          <w:rFonts w:ascii="Arial" w:hAnsi="Arial" w:cs="Arial"/>
          <w:sz w:val="22"/>
          <w:szCs w:val="22"/>
        </w:rPr>
      </w:pPr>
    </w:p>
    <w:p w14:paraId="1E275D77" w14:textId="329C7D41" w:rsidR="005F2E44" w:rsidRPr="00A86E44" w:rsidRDefault="005F2E44" w:rsidP="000C46ED">
      <w:pPr>
        <w:pStyle w:val="ListParagraph"/>
        <w:numPr>
          <w:ilvl w:val="1"/>
          <w:numId w:val="3"/>
        </w:numPr>
        <w:ind w:left="851" w:hanging="851"/>
        <w:rPr>
          <w:rFonts w:ascii="Arial" w:hAnsi="Arial" w:cs="Arial"/>
          <w:sz w:val="22"/>
          <w:szCs w:val="22"/>
        </w:rPr>
      </w:pPr>
      <w:r w:rsidRPr="00A86E44">
        <w:rPr>
          <w:rFonts w:ascii="Arial" w:hAnsi="Arial" w:cs="Arial"/>
          <w:sz w:val="22"/>
          <w:szCs w:val="22"/>
        </w:rPr>
        <w:t xml:space="preserve">Once a patient is accepted for subfertility treatment, they will no longer be eligible for any other </w:t>
      </w:r>
      <w:r w:rsidR="003F12CF">
        <w:rPr>
          <w:rFonts w:ascii="Arial" w:hAnsi="Arial" w:cs="Arial"/>
          <w:sz w:val="22"/>
          <w:szCs w:val="22"/>
        </w:rPr>
        <w:t>MAR</w:t>
      </w:r>
      <w:r w:rsidR="009A722E" w:rsidRPr="00A86E44">
        <w:rPr>
          <w:rFonts w:ascii="Arial" w:hAnsi="Arial" w:cs="Arial"/>
          <w:sz w:val="22"/>
          <w:szCs w:val="22"/>
        </w:rPr>
        <w:t xml:space="preserve"> </w:t>
      </w:r>
      <w:r w:rsidRPr="00A86E44">
        <w:rPr>
          <w:rFonts w:ascii="Arial" w:hAnsi="Arial" w:cs="Arial"/>
          <w:sz w:val="22"/>
          <w:szCs w:val="22"/>
        </w:rPr>
        <w:t>treatment or procedures if a pregnancy leading to a live birth has occurred or the patient has adopted a child.</w:t>
      </w:r>
    </w:p>
    <w:p w14:paraId="440AEDB2" w14:textId="77777777" w:rsidR="00B922DD" w:rsidRPr="00242C1B" w:rsidRDefault="00B922DD" w:rsidP="00242C1B">
      <w:pPr>
        <w:rPr>
          <w:rFonts w:ascii="Arial" w:hAnsi="Arial" w:cs="Arial"/>
          <w:sz w:val="22"/>
          <w:szCs w:val="22"/>
        </w:rPr>
      </w:pPr>
    </w:p>
    <w:p w14:paraId="748C8A6B" w14:textId="06C310EF" w:rsidR="005F2E44" w:rsidRPr="00B12705" w:rsidRDefault="005F2E44" w:rsidP="000C46ED">
      <w:pPr>
        <w:pStyle w:val="Heading2"/>
        <w:numPr>
          <w:ilvl w:val="0"/>
          <w:numId w:val="3"/>
        </w:numPr>
        <w:ind w:left="851" w:hanging="851"/>
        <w:rPr>
          <w:rFonts w:eastAsiaTheme="minorHAnsi" w:cs="Arial"/>
          <w:b/>
          <w:bCs/>
          <w:sz w:val="36"/>
          <w:szCs w:val="36"/>
          <w:lang w:eastAsia="en-US"/>
        </w:rPr>
      </w:pPr>
      <w:bookmarkStart w:id="8" w:name="_Toc199755656"/>
      <w:r w:rsidRPr="00B12705">
        <w:rPr>
          <w:rFonts w:eastAsiaTheme="minorHAnsi" w:cs="Arial"/>
          <w:b/>
          <w:bCs/>
          <w:sz w:val="36"/>
          <w:szCs w:val="36"/>
          <w:lang w:eastAsia="en-US"/>
        </w:rPr>
        <w:t>Female and Male Body Mass Index (BMI)</w:t>
      </w:r>
      <w:bookmarkEnd w:id="8"/>
      <w:r w:rsidRPr="00B12705">
        <w:rPr>
          <w:rFonts w:eastAsiaTheme="minorHAnsi" w:cs="Arial"/>
          <w:b/>
          <w:bCs/>
          <w:sz w:val="36"/>
          <w:szCs w:val="36"/>
          <w:lang w:eastAsia="en-US"/>
        </w:rPr>
        <w:t xml:space="preserve"> </w:t>
      </w:r>
    </w:p>
    <w:p w14:paraId="505D26E4" w14:textId="77777777" w:rsidR="00242C1B" w:rsidRPr="003D18B8" w:rsidRDefault="00242C1B" w:rsidP="003D18B8">
      <w:pPr>
        <w:rPr>
          <w:rFonts w:ascii="Arial" w:hAnsi="Arial" w:cs="Arial"/>
          <w:sz w:val="22"/>
          <w:szCs w:val="22"/>
        </w:rPr>
      </w:pPr>
    </w:p>
    <w:p w14:paraId="4EA71545" w14:textId="468C0099" w:rsidR="005F2E44" w:rsidRPr="003D18B8" w:rsidRDefault="004B4BAA" w:rsidP="000C46ED">
      <w:pPr>
        <w:pStyle w:val="ListParagraph"/>
        <w:numPr>
          <w:ilvl w:val="1"/>
          <w:numId w:val="3"/>
        </w:numPr>
        <w:ind w:left="851" w:hanging="851"/>
        <w:rPr>
          <w:rFonts w:ascii="Arial" w:hAnsi="Arial" w:cs="Arial"/>
          <w:sz w:val="22"/>
          <w:szCs w:val="22"/>
        </w:rPr>
      </w:pPr>
      <w:r>
        <w:rPr>
          <w:rFonts w:ascii="Arial" w:hAnsi="Arial" w:cs="Arial"/>
          <w:sz w:val="22"/>
          <w:szCs w:val="22"/>
        </w:rPr>
        <w:t>The woman intending to carry the pregnancy</w:t>
      </w:r>
      <w:r w:rsidR="00C60596">
        <w:rPr>
          <w:rFonts w:ascii="Arial" w:hAnsi="Arial" w:cs="Arial"/>
          <w:sz w:val="22"/>
          <w:szCs w:val="22"/>
        </w:rPr>
        <w:t>,</w:t>
      </w:r>
      <w:r w:rsidR="005F2E44" w:rsidRPr="003D18B8">
        <w:rPr>
          <w:rFonts w:ascii="Arial" w:hAnsi="Arial" w:cs="Arial"/>
          <w:sz w:val="22"/>
          <w:szCs w:val="22"/>
        </w:rPr>
        <w:t xml:space="preserve"> will be required to achieve a BMI of 19-29.9 kg/m² before subfertility treatment begins. Women outside this range can still undergo investigations, but subfertility treatment will not commence until their BMI is within this range.</w:t>
      </w:r>
    </w:p>
    <w:p w14:paraId="7AE7CF34" w14:textId="77777777" w:rsidR="005F2E44" w:rsidRPr="003D18B8" w:rsidRDefault="005F2E44" w:rsidP="003D18B8">
      <w:pPr>
        <w:rPr>
          <w:rFonts w:ascii="Arial" w:hAnsi="Arial" w:cs="Arial"/>
          <w:sz w:val="22"/>
          <w:szCs w:val="22"/>
        </w:rPr>
      </w:pPr>
    </w:p>
    <w:p w14:paraId="2A05079C" w14:textId="6E891D60" w:rsidR="005F2E44" w:rsidRPr="00FB1F21" w:rsidRDefault="008F0524" w:rsidP="000C46ED">
      <w:pPr>
        <w:pStyle w:val="ListParagraph"/>
        <w:numPr>
          <w:ilvl w:val="1"/>
          <w:numId w:val="3"/>
        </w:numPr>
        <w:ind w:left="851" w:hanging="851"/>
        <w:rPr>
          <w:rFonts w:ascii="Arial" w:hAnsi="Arial" w:cs="Arial"/>
          <w:sz w:val="22"/>
          <w:szCs w:val="22"/>
        </w:rPr>
      </w:pPr>
      <w:r w:rsidRPr="008F0524">
        <w:rPr>
          <w:rFonts w:ascii="Arial" w:hAnsi="Arial" w:cs="Arial"/>
          <w:sz w:val="22"/>
          <w:szCs w:val="22"/>
        </w:rPr>
        <w:t>Men who have a BMI of 30 or over should be informed that they are likely to have reduced fertility and they should be strongly encouraged to lose weight as this will improve their chances of a successful conception.</w:t>
      </w:r>
    </w:p>
    <w:p w14:paraId="2E15025B" w14:textId="4992D1DC" w:rsidR="00B922DD" w:rsidRPr="00A41247" w:rsidRDefault="005F2E44" w:rsidP="005F2E44">
      <w:pPr>
        <w:autoSpaceDE w:val="0"/>
        <w:autoSpaceDN w:val="0"/>
        <w:adjustRightInd w:val="0"/>
        <w:rPr>
          <w:rFonts w:ascii="Arial" w:hAnsi="Arial" w:cs="Arial"/>
          <w:color w:val="000000"/>
          <w:sz w:val="20"/>
          <w:szCs w:val="20"/>
        </w:rPr>
      </w:pPr>
      <w:r w:rsidRPr="00A41247">
        <w:rPr>
          <w:rFonts w:ascii="Arial" w:hAnsi="Arial" w:cs="Arial"/>
          <w:color w:val="000000"/>
          <w:sz w:val="20"/>
          <w:szCs w:val="20"/>
        </w:rPr>
        <w:t xml:space="preserve"> </w:t>
      </w:r>
    </w:p>
    <w:p w14:paraId="44340D93" w14:textId="3889BD18" w:rsidR="005F2E44" w:rsidRPr="00B12705" w:rsidRDefault="005F2E44" w:rsidP="000C46ED">
      <w:pPr>
        <w:pStyle w:val="Heading2"/>
        <w:numPr>
          <w:ilvl w:val="0"/>
          <w:numId w:val="3"/>
        </w:numPr>
        <w:ind w:left="851" w:hanging="851"/>
        <w:rPr>
          <w:rFonts w:eastAsiaTheme="minorHAnsi" w:cs="Arial"/>
          <w:b/>
          <w:bCs/>
          <w:sz w:val="36"/>
          <w:szCs w:val="36"/>
          <w:lang w:eastAsia="en-US"/>
        </w:rPr>
      </w:pPr>
      <w:bookmarkStart w:id="9" w:name="_Toc199755657"/>
      <w:r w:rsidRPr="00B12705">
        <w:rPr>
          <w:rFonts w:eastAsiaTheme="minorHAnsi" w:cs="Arial"/>
          <w:b/>
          <w:bCs/>
          <w:sz w:val="36"/>
          <w:szCs w:val="36"/>
          <w:lang w:eastAsia="en-US"/>
        </w:rPr>
        <w:t>Female and Male Smoking</w:t>
      </w:r>
      <w:r w:rsidR="000A5B69" w:rsidRPr="00B12705">
        <w:rPr>
          <w:rStyle w:val="FootnoteReference"/>
          <w:rFonts w:ascii="Arial-BoldMT" w:hAnsi="Arial-BoldMT" w:cs="Arial-BoldMT"/>
          <w:b/>
          <w:bCs/>
          <w:sz w:val="28"/>
          <w:szCs w:val="28"/>
        </w:rPr>
        <w:footnoteReference w:id="3"/>
      </w:r>
      <w:r w:rsidR="000A5B69" w:rsidRPr="00B12705">
        <w:rPr>
          <w:rFonts w:eastAsiaTheme="minorHAnsi" w:cs="Arial"/>
          <w:b/>
          <w:bCs/>
          <w:sz w:val="36"/>
          <w:szCs w:val="36"/>
          <w:lang w:eastAsia="en-US"/>
        </w:rPr>
        <w:t xml:space="preserve"> </w:t>
      </w:r>
      <w:r w:rsidRPr="00B12705">
        <w:rPr>
          <w:rFonts w:eastAsiaTheme="minorHAnsi" w:cs="Arial"/>
          <w:b/>
          <w:bCs/>
          <w:sz w:val="36"/>
          <w:szCs w:val="36"/>
          <w:lang w:eastAsia="en-US"/>
        </w:rPr>
        <w:t>Status</w:t>
      </w:r>
      <w:bookmarkEnd w:id="9"/>
    </w:p>
    <w:p w14:paraId="4E470581" w14:textId="77777777" w:rsidR="000A5B69" w:rsidRPr="0049090E" w:rsidRDefault="000A5B69" w:rsidP="00235A02">
      <w:pPr>
        <w:rPr>
          <w:rFonts w:ascii="Arial" w:hAnsi="Arial" w:cs="Arial"/>
          <w:sz w:val="20"/>
          <w:szCs w:val="20"/>
        </w:rPr>
      </w:pPr>
    </w:p>
    <w:p w14:paraId="1BF98F9B" w14:textId="59722194" w:rsidR="005F2E44" w:rsidRPr="00FB1F21" w:rsidRDefault="005F2E44" w:rsidP="000C46ED">
      <w:pPr>
        <w:pStyle w:val="ListParagraph"/>
        <w:numPr>
          <w:ilvl w:val="1"/>
          <w:numId w:val="3"/>
        </w:numPr>
        <w:ind w:left="851" w:hanging="851"/>
        <w:rPr>
          <w:rFonts w:ascii="Arial" w:hAnsi="Arial" w:cs="Arial"/>
          <w:sz w:val="22"/>
          <w:szCs w:val="22"/>
        </w:rPr>
      </w:pPr>
      <w:r w:rsidRPr="00FB1F21">
        <w:rPr>
          <w:rFonts w:ascii="Arial" w:hAnsi="Arial" w:cs="Arial"/>
          <w:sz w:val="22"/>
          <w:szCs w:val="22"/>
        </w:rPr>
        <w:t>Both partners (i</w:t>
      </w:r>
      <w:r w:rsidR="003D18B8" w:rsidRPr="00FB1F21">
        <w:rPr>
          <w:rFonts w:ascii="Arial" w:hAnsi="Arial" w:cs="Arial"/>
          <w:sz w:val="22"/>
          <w:szCs w:val="22"/>
        </w:rPr>
        <w:t>.e.</w:t>
      </w:r>
      <w:r w:rsidRPr="00FB1F21">
        <w:rPr>
          <w:rFonts w:ascii="Arial" w:hAnsi="Arial" w:cs="Arial"/>
          <w:sz w:val="22"/>
          <w:szCs w:val="22"/>
        </w:rPr>
        <w:t xml:space="preserve"> female and/or male) should be confirmed non-smokers in order to access any subfertility treatment and must continue to be non-smoking throughout treatment. Providers should seek evidence from referrers and confirmation from patients. Providers should also include this undertaking on the consent form and ask patients to acknowledge that smoking could result in cessation of treatment. </w:t>
      </w:r>
    </w:p>
    <w:p w14:paraId="5006E08F" w14:textId="77777777" w:rsidR="005F2E44" w:rsidRPr="00235A02" w:rsidRDefault="005F2E44" w:rsidP="00235A02">
      <w:pPr>
        <w:rPr>
          <w:rFonts w:ascii="Arial" w:hAnsi="Arial" w:cs="Arial"/>
          <w:sz w:val="22"/>
          <w:szCs w:val="22"/>
        </w:rPr>
      </w:pPr>
    </w:p>
    <w:p w14:paraId="32E1B115" w14:textId="6783A478" w:rsidR="005F2E44" w:rsidRPr="00B12705" w:rsidRDefault="005F2E44" w:rsidP="000C46ED">
      <w:pPr>
        <w:pStyle w:val="Heading2"/>
        <w:numPr>
          <w:ilvl w:val="0"/>
          <w:numId w:val="3"/>
        </w:numPr>
        <w:ind w:left="851" w:hanging="851"/>
        <w:rPr>
          <w:rFonts w:eastAsiaTheme="minorHAnsi" w:cs="Arial"/>
          <w:b/>
          <w:bCs/>
          <w:sz w:val="36"/>
          <w:szCs w:val="36"/>
          <w:lang w:eastAsia="en-US"/>
        </w:rPr>
      </w:pPr>
      <w:bookmarkStart w:id="10" w:name="_Toc199755658"/>
      <w:r w:rsidRPr="00B12705">
        <w:rPr>
          <w:rFonts w:eastAsiaTheme="minorHAnsi" w:cs="Arial"/>
          <w:b/>
          <w:bCs/>
          <w:sz w:val="36"/>
          <w:szCs w:val="36"/>
          <w:lang w:eastAsia="en-US"/>
        </w:rPr>
        <w:t xml:space="preserve">Female and Male Drugs </w:t>
      </w:r>
      <w:r w:rsidR="00235A02" w:rsidRPr="00B12705">
        <w:rPr>
          <w:rFonts w:eastAsiaTheme="minorHAnsi" w:cs="Arial"/>
          <w:b/>
          <w:bCs/>
          <w:sz w:val="36"/>
          <w:szCs w:val="36"/>
          <w:lang w:eastAsia="en-US"/>
        </w:rPr>
        <w:t>and</w:t>
      </w:r>
      <w:r w:rsidRPr="00B12705">
        <w:rPr>
          <w:rFonts w:eastAsiaTheme="minorHAnsi" w:cs="Arial"/>
          <w:b/>
          <w:bCs/>
          <w:sz w:val="36"/>
          <w:szCs w:val="36"/>
          <w:lang w:eastAsia="en-US"/>
        </w:rPr>
        <w:t xml:space="preserve"> Alcohol intake</w:t>
      </w:r>
      <w:bookmarkEnd w:id="10"/>
    </w:p>
    <w:p w14:paraId="5F8A46BF" w14:textId="77777777" w:rsidR="000A5B69" w:rsidRPr="0049090E" w:rsidRDefault="000A5B69" w:rsidP="00235A02">
      <w:pPr>
        <w:rPr>
          <w:rFonts w:ascii="Arial" w:hAnsi="Arial" w:cs="Arial"/>
          <w:sz w:val="20"/>
          <w:szCs w:val="20"/>
        </w:rPr>
      </w:pPr>
    </w:p>
    <w:p w14:paraId="17533205" w14:textId="065C1DDC" w:rsidR="005F2E44" w:rsidRPr="00FB1F21" w:rsidRDefault="00A35B26" w:rsidP="000C46ED">
      <w:pPr>
        <w:pStyle w:val="ListParagraph"/>
        <w:numPr>
          <w:ilvl w:val="1"/>
          <w:numId w:val="3"/>
        </w:numPr>
        <w:ind w:left="851" w:hanging="851"/>
        <w:rPr>
          <w:rFonts w:ascii="Arial" w:hAnsi="Arial" w:cs="Arial"/>
          <w:sz w:val="22"/>
          <w:szCs w:val="22"/>
        </w:rPr>
      </w:pPr>
      <w:r>
        <w:rPr>
          <w:rFonts w:ascii="Arial" w:hAnsi="Arial" w:cs="Arial"/>
          <w:sz w:val="22"/>
          <w:szCs w:val="22"/>
        </w:rPr>
        <w:t>Both partners (i.e. fem</w:t>
      </w:r>
      <w:r w:rsidRPr="00FB1F21">
        <w:rPr>
          <w:rFonts w:ascii="Arial" w:hAnsi="Arial" w:cs="Arial"/>
          <w:sz w:val="22"/>
          <w:szCs w:val="22"/>
        </w:rPr>
        <w:t xml:space="preserve">ale </w:t>
      </w:r>
      <w:r w:rsidR="005F2E44" w:rsidRPr="00FB1F21">
        <w:rPr>
          <w:rFonts w:ascii="Arial" w:hAnsi="Arial" w:cs="Arial"/>
          <w:sz w:val="22"/>
          <w:szCs w:val="22"/>
        </w:rPr>
        <w:t>and</w:t>
      </w:r>
      <w:r>
        <w:rPr>
          <w:rFonts w:ascii="Arial" w:hAnsi="Arial" w:cs="Arial"/>
          <w:sz w:val="22"/>
          <w:szCs w:val="22"/>
        </w:rPr>
        <w:t>/or</w:t>
      </w:r>
      <w:r w:rsidR="005F2E44" w:rsidRPr="00FB1F21">
        <w:rPr>
          <w:rFonts w:ascii="Arial" w:hAnsi="Arial" w:cs="Arial"/>
          <w:sz w:val="22"/>
          <w:szCs w:val="22"/>
        </w:rPr>
        <w:t xml:space="preserve"> male</w:t>
      </w:r>
      <w:r w:rsidR="00901B60">
        <w:rPr>
          <w:rFonts w:ascii="Arial" w:hAnsi="Arial" w:cs="Arial"/>
          <w:sz w:val="22"/>
          <w:szCs w:val="22"/>
        </w:rPr>
        <w:t>)</w:t>
      </w:r>
      <w:r w:rsidR="005F2E44" w:rsidRPr="00FB1F21">
        <w:rPr>
          <w:rFonts w:ascii="Arial" w:hAnsi="Arial" w:cs="Arial"/>
          <w:sz w:val="22"/>
          <w:szCs w:val="22"/>
        </w:rPr>
        <w:t xml:space="preserve"> will be asked to give an assurance that their alcohol intake is within Department of Health </w:t>
      </w:r>
      <w:r w:rsidR="008C0E49" w:rsidRPr="00FB1F21">
        <w:rPr>
          <w:rFonts w:ascii="Arial" w:hAnsi="Arial" w:cs="Arial"/>
          <w:sz w:val="22"/>
          <w:szCs w:val="22"/>
        </w:rPr>
        <w:t>guidelines,</w:t>
      </w:r>
      <w:r w:rsidR="005F2E44" w:rsidRPr="00FB1F21">
        <w:rPr>
          <w:rFonts w:ascii="Arial" w:hAnsi="Arial" w:cs="Arial"/>
          <w:sz w:val="22"/>
          <w:szCs w:val="22"/>
        </w:rPr>
        <w:t xml:space="preserve"> and they are not using recreational drugs. Any evidence to the contrary may trigger a pause in treatment with possible referral for a welfare of the child assessment and/or further information sought from the GP.</w:t>
      </w:r>
    </w:p>
    <w:p w14:paraId="7C202BAF" w14:textId="77777777" w:rsidR="005F2E44" w:rsidRPr="00235A02" w:rsidRDefault="005F2E44" w:rsidP="000C46ED">
      <w:pPr>
        <w:autoSpaceDE w:val="0"/>
        <w:autoSpaceDN w:val="0"/>
        <w:adjustRightInd w:val="0"/>
        <w:ind w:left="851"/>
        <w:rPr>
          <w:rFonts w:ascii="Arial" w:hAnsi="Arial" w:cs="Arial"/>
          <w:color w:val="0000FF"/>
          <w:sz w:val="22"/>
          <w:szCs w:val="22"/>
        </w:rPr>
      </w:pPr>
      <w:r w:rsidRPr="00235A02">
        <w:rPr>
          <w:rFonts w:ascii="Arial" w:hAnsi="Arial" w:cs="Arial"/>
          <w:color w:val="0000FF"/>
          <w:sz w:val="22"/>
          <w:szCs w:val="22"/>
        </w:rPr>
        <w:t xml:space="preserve">https://www.gov.uk/government/policies/reducing-drugs-misuse-and-dependence </w:t>
      </w:r>
    </w:p>
    <w:p w14:paraId="7938E25D" w14:textId="77777777" w:rsidR="005F2E44" w:rsidRPr="00235A02" w:rsidRDefault="005F2E44" w:rsidP="000C46ED">
      <w:pPr>
        <w:autoSpaceDE w:val="0"/>
        <w:autoSpaceDN w:val="0"/>
        <w:adjustRightInd w:val="0"/>
        <w:ind w:left="851"/>
        <w:rPr>
          <w:rFonts w:ascii="Arial" w:hAnsi="Arial" w:cs="Arial"/>
          <w:color w:val="000000"/>
          <w:sz w:val="22"/>
          <w:szCs w:val="22"/>
        </w:rPr>
      </w:pPr>
      <w:r w:rsidRPr="00235A02">
        <w:rPr>
          <w:rFonts w:ascii="Arial" w:hAnsi="Arial" w:cs="Arial"/>
          <w:color w:val="0000FF"/>
          <w:sz w:val="22"/>
          <w:szCs w:val="22"/>
        </w:rPr>
        <w:t>https://www.gov.uk/government/policies/reducing-harmful-drinking</w:t>
      </w:r>
    </w:p>
    <w:p w14:paraId="16510B7D" w14:textId="271B1399" w:rsidR="005F2E44" w:rsidRDefault="005F2E44" w:rsidP="00B922DD">
      <w:pPr>
        <w:autoSpaceDE w:val="0"/>
        <w:autoSpaceDN w:val="0"/>
        <w:adjustRightInd w:val="0"/>
        <w:rPr>
          <w:rFonts w:ascii="Arial" w:hAnsi="Arial" w:cs="Arial"/>
          <w:color w:val="000000"/>
          <w:sz w:val="22"/>
          <w:szCs w:val="22"/>
        </w:rPr>
      </w:pPr>
    </w:p>
    <w:p w14:paraId="22939211" w14:textId="77777777" w:rsidR="00B922DD" w:rsidRDefault="00B922DD" w:rsidP="00B922DD">
      <w:pPr>
        <w:autoSpaceDE w:val="0"/>
        <w:autoSpaceDN w:val="0"/>
        <w:adjustRightInd w:val="0"/>
        <w:rPr>
          <w:rFonts w:ascii="Arial" w:hAnsi="Arial" w:cs="Arial"/>
          <w:color w:val="000000"/>
          <w:sz w:val="22"/>
          <w:szCs w:val="22"/>
        </w:rPr>
      </w:pPr>
    </w:p>
    <w:p w14:paraId="2885305C" w14:textId="77777777" w:rsidR="00B922DD" w:rsidRDefault="00B922DD" w:rsidP="00B922DD">
      <w:pPr>
        <w:autoSpaceDE w:val="0"/>
        <w:autoSpaceDN w:val="0"/>
        <w:adjustRightInd w:val="0"/>
        <w:rPr>
          <w:rFonts w:ascii="Arial" w:hAnsi="Arial" w:cs="Arial"/>
          <w:color w:val="000000"/>
          <w:sz w:val="22"/>
          <w:szCs w:val="22"/>
        </w:rPr>
      </w:pPr>
    </w:p>
    <w:p w14:paraId="3EBCCB8A" w14:textId="77777777" w:rsidR="00B922DD" w:rsidRDefault="00B922DD" w:rsidP="00B922DD">
      <w:pPr>
        <w:autoSpaceDE w:val="0"/>
        <w:autoSpaceDN w:val="0"/>
        <w:adjustRightInd w:val="0"/>
        <w:rPr>
          <w:rFonts w:ascii="Arial" w:hAnsi="Arial" w:cs="Arial"/>
          <w:color w:val="000000"/>
          <w:sz w:val="22"/>
          <w:szCs w:val="22"/>
        </w:rPr>
      </w:pPr>
    </w:p>
    <w:p w14:paraId="2ADA2626" w14:textId="77777777" w:rsidR="00B922DD" w:rsidRDefault="00B922DD" w:rsidP="00B922DD">
      <w:pPr>
        <w:autoSpaceDE w:val="0"/>
        <w:autoSpaceDN w:val="0"/>
        <w:adjustRightInd w:val="0"/>
        <w:rPr>
          <w:rFonts w:ascii="Arial" w:hAnsi="Arial" w:cs="Arial"/>
          <w:color w:val="000000"/>
          <w:sz w:val="22"/>
          <w:szCs w:val="22"/>
        </w:rPr>
      </w:pPr>
    </w:p>
    <w:p w14:paraId="3E751543" w14:textId="77777777" w:rsidR="00B922DD" w:rsidRDefault="00B922DD" w:rsidP="00B922DD">
      <w:pPr>
        <w:autoSpaceDE w:val="0"/>
        <w:autoSpaceDN w:val="0"/>
        <w:adjustRightInd w:val="0"/>
        <w:rPr>
          <w:rFonts w:ascii="Arial" w:hAnsi="Arial" w:cs="Arial"/>
          <w:color w:val="000000"/>
          <w:sz w:val="22"/>
          <w:szCs w:val="22"/>
        </w:rPr>
      </w:pPr>
    </w:p>
    <w:p w14:paraId="72EAF710" w14:textId="77777777" w:rsidR="00B922DD" w:rsidRPr="00235A02" w:rsidRDefault="00B922DD" w:rsidP="00B922DD">
      <w:pPr>
        <w:autoSpaceDE w:val="0"/>
        <w:autoSpaceDN w:val="0"/>
        <w:adjustRightInd w:val="0"/>
        <w:rPr>
          <w:rFonts w:ascii="Arial" w:hAnsi="Arial" w:cs="Arial"/>
          <w:bCs/>
          <w:color w:val="2E74B5" w:themeColor="accent5" w:themeShade="BF"/>
          <w:sz w:val="22"/>
          <w:szCs w:val="22"/>
        </w:rPr>
      </w:pPr>
    </w:p>
    <w:p w14:paraId="3E327E12" w14:textId="77777777" w:rsidR="005F2E44" w:rsidRDefault="005F2E44" w:rsidP="000A5B69">
      <w:pPr>
        <w:pStyle w:val="Heading1"/>
        <w:spacing w:before="0" w:beforeAutospacing="0" w:after="0" w:afterAutospacing="0" w:line="240" w:lineRule="auto"/>
        <w:rPr>
          <w:rFonts w:ascii="Arial" w:eastAsiaTheme="minorHAnsi" w:hAnsi="Arial" w:cs="Arial"/>
          <w:lang w:eastAsia="en-US"/>
        </w:rPr>
      </w:pPr>
      <w:bookmarkStart w:id="11" w:name="_Toc199755659"/>
      <w:r w:rsidRPr="000A5B69">
        <w:rPr>
          <w:rFonts w:ascii="Arial" w:eastAsiaTheme="minorHAnsi" w:hAnsi="Arial" w:cs="Arial"/>
          <w:lang w:eastAsia="en-US"/>
        </w:rPr>
        <w:t>Treatment Options</w:t>
      </w:r>
      <w:bookmarkEnd w:id="11"/>
      <w:r w:rsidRPr="000A5B69">
        <w:rPr>
          <w:rFonts w:ascii="Arial" w:eastAsiaTheme="minorHAnsi" w:hAnsi="Arial" w:cs="Arial"/>
          <w:lang w:eastAsia="en-US"/>
        </w:rPr>
        <w:t xml:space="preserve"> </w:t>
      </w:r>
    </w:p>
    <w:p w14:paraId="5DB13257" w14:textId="77777777" w:rsidR="000A5B69" w:rsidRPr="0049090E" w:rsidRDefault="000A5B69" w:rsidP="000A5B69">
      <w:pPr>
        <w:rPr>
          <w:rFonts w:ascii="Arial" w:eastAsiaTheme="minorHAnsi" w:hAnsi="Arial" w:cs="Arial"/>
          <w:sz w:val="22"/>
          <w:szCs w:val="22"/>
          <w:lang w:eastAsia="en-US"/>
        </w:rPr>
      </w:pPr>
    </w:p>
    <w:p w14:paraId="3865B211" w14:textId="77777777" w:rsidR="00CD5946" w:rsidRPr="00474CD5" w:rsidRDefault="005F2E44" w:rsidP="00CD5946">
      <w:pPr>
        <w:pStyle w:val="Heading2"/>
        <w:numPr>
          <w:ilvl w:val="0"/>
          <w:numId w:val="3"/>
        </w:numPr>
        <w:ind w:left="851" w:hanging="851"/>
        <w:rPr>
          <w:rFonts w:eastAsiaTheme="minorHAnsi" w:cs="Arial"/>
          <w:b/>
          <w:bCs/>
          <w:sz w:val="36"/>
          <w:szCs w:val="36"/>
          <w:lang w:eastAsia="en-US"/>
        </w:rPr>
      </w:pPr>
      <w:bookmarkStart w:id="12" w:name="_Toc199755660"/>
      <w:r w:rsidRPr="00B12705">
        <w:rPr>
          <w:rFonts w:eastAsiaTheme="minorHAnsi" w:cs="Arial"/>
          <w:b/>
          <w:bCs/>
          <w:sz w:val="36"/>
          <w:szCs w:val="36"/>
          <w:lang w:eastAsia="en-US"/>
        </w:rPr>
        <w:t xml:space="preserve">Intra-uterine Insemination (IUI)/Donor Insemination (DI) </w:t>
      </w:r>
      <w:r w:rsidR="00CD5946">
        <w:rPr>
          <w:rFonts w:eastAsiaTheme="minorHAnsi" w:cs="Arial"/>
          <w:b/>
          <w:bCs/>
          <w:sz w:val="36"/>
          <w:szCs w:val="36"/>
          <w:lang w:eastAsia="en-US"/>
        </w:rPr>
        <w:t xml:space="preserve">and </w:t>
      </w:r>
      <w:r w:rsidR="00CD5946" w:rsidRPr="00474CD5">
        <w:rPr>
          <w:rFonts w:eastAsiaTheme="minorHAnsi" w:cs="Arial"/>
          <w:b/>
          <w:bCs/>
          <w:sz w:val="36"/>
          <w:szCs w:val="36"/>
          <w:lang w:eastAsia="en-US"/>
        </w:rPr>
        <w:t>Intra-cytoplasmic sperm injections (ICSI)</w:t>
      </w:r>
      <w:bookmarkEnd w:id="12"/>
    </w:p>
    <w:p w14:paraId="64D82DBA" w14:textId="77777777" w:rsidR="000A5B69" w:rsidRPr="00016A02" w:rsidRDefault="000A5B69" w:rsidP="00016A02">
      <w:pPr>
        <w:rPr>
          <w:rFonts w:ascii="Arial" w:hAnsi="Arial" w:cs="Arial"/>
          <w:sz w:val="22"/>
          <w:szCs w:val="22"/>
        </w:rPr>
      </w:pPr>
    </w:p>
    <w:p w14:paraId="5D53C37C" w14:textId="3C69CC1E" w:rsidR="005F2E44" w:rsidRPr="00FB1F21" w:rsidRDefault="005F2E44" w:rsidP="000C46ED">
      <w:pPr>
        <w:pStyle w:val="ListParagraph"/>
        <w:numPr>
          <w:ilvl w:val="1"/>
          <w:numId w:val="3"/>
        </w:numPr>
        <w:ind w:left="851" w:hanging="851"/>
        <w:rPr>
          <w:rFonts w:ascii="Arial" w:hAnsi="Arial" w:cs="Arial"/>
          <w:sz w:val="22"/>
          <w:szCs w:val="22"/>
        </w:rPr>
      </w:pPr>
      <w:r w:rsidRPr="00FB1F21">
        <w:rPr>
          <w:rFonts w:ascii="Arial" w:hAnsi="Arial" w:cs="Arial"/>
          <w:sz w:val="22"/>
          <w:szCs w:val="22"/>
        </w:rPr>
        <w:t xml:space="preserve">Unstimulated intrauterine insemination is a treatment option in the following groups as an alternative to vaginal sexual intercourse: </w:t>
      </w:r>
    </w:p>
    <w:p w14:paraId="717F64D4" w14:textId="5F0CB990" w:rsidR="005F2E44" w:rsidRPr="00FB1F21" w:rsidRDefault="005F2E44" w:rsidP="00481326">
      <w:pPr>
        <w:pStyle w:val="ListParagraph"/>
        <w:numPr>
          <w:ilvl w:val="2"/>
          <w:numId w:val="3"/>
        </w:numPr>
        <w:ind w:left="1276"/>
        <w:rPr>
          <w:rFonts w:ascii="Arial" w:hAnsi="Arial" w:cs="Arial"/>
          <w:sz w:val="22"/>
          <w:szCs w:val="22"/>
        </w:rPr>
      </w:pPr>
      <w:r w:rsidRPr="00FB1F21">
        <w:rPr>
          <w:rFonts w:ascii="Arial" w:hAnsi="Arial" w:cs="Arial"/>
          <w:sz w:val="22"/>
          <w:szCs w:val="22"/>
        </w:rPr>
        <w:t>People who are unable to, or would find it very difficult to, have vaginal intercourse because of a clinically diagnosed physical disability or-psychosexual problem who are using partner or donor sperm</w:t>
      </w:r>
    </w:p>
    <w:p w14:paraId="3F4C11BA" w14:textId="369EF1B2" w:rsidR="005F2E44" w:rsidRPr="00FB1F21" w:rsidRDefault="005F2E44" w:rsidP="00481326">
      <w:pPr>
        <w:pStyle w:val="ListParagraph"/>
        <w:numPr>
          <w:ilvl w:val="2"/>
          <w:numId w:val="3"/>
        </w:numPr>
        <w:ind w:left="1276"/>
        <w:rPr>
          <w:rFonts w:ascii="Arial" w:hAnsi="Arial" w:cs="Arial"/>
          <w:sz w:val="22"/>
          <w:szCs w:val="22"/>
        </w:rPr>
      </w:pPr>
      <w:r w:rsidRPr="00FB1F21">
        <w:rPr>
          <w:rFonts w:ascii="Arial" w:hAnsi="Arial" w:cs="Arial"/>
          <w:sz w:val="22"/>
          <w:szCs w:val="22"/>
        </w:rPr>
        <w:t>People with conditions that require specifi</w:t>
      </w:r>
      <w:r w:rsidR="003D18B8" w:rsidRPr="00FB1F21">
        <w:rPr>
          <w:rFonts w:ascii="Arial" w:hAnsi="Arial" w:cs="Arial"/>
          <w:sz w:val="22"/>
          <w:szCs w:val="22"/>
        </w:rPr>
        <w:t>c</w:t>
      </w:r>
      <w:r w:rsidRPr="00FB1F21">
        <w:rPr>
          <w:rFonts w:ascii="Arial" w:hAnsi="Arial" w:cs="Arial"/>
          <w:sz w:val="22"/>
          <w:szCs w:val="22"/>
        </w:rPr>
        <w:t xml:space="preserve"> consideration in relation to methods of conception (for example, after sperm washing where the man is HIV positive)</w:t>
      </w:r>
    </w:p>
    <w:p w14:paraId="6450D805" w14:textId="6E2CE228" w:rsidR="005F2E44" w:rsidRPr="00FB1F21" w:rsidRDefault="005F2E44" w:rsidP="00481326">
      <w:pPr>
        <w:pStyle w:val="ListParagraph"/>
        <w:numPr>
          <w:ilvl w:val="2"/>
          <w:numId w:val="3"/>
        </w:numPr>
        <w:ind w:left="1276"/>
        <w:rPr>
          <w:rFonts w:ascii="Arial" w:hAnsi="Arial" w:cs="Arial"/>
          <w:sz w:val="22"/>
          <w:szCs w:val="22"/>
        </w:rPr>
      </w:pPr>
      <w:r w:rsidRPr="00FB1F21">
        <w:rPr>
          <w:rFonts w:ascii="Arial" w:hAnsi="Arial" w:cs="Arial"/>
          <w:sz w:val="22"/>
          <w:szCs w:val="22"/>
        </w:rPr>
        <w:t xml:space="preserve">People in same sex relationships (please see </w:t>
      </w:r>
      <w:r w:rsidRPr="0065052A">
        <w:rPr>
          <w:rFonts w:ascii="Arial" w:hAnsi="Arial" w:cs="Arial"/>
          <w:sz w:val="22"/>
          <w:szCs w:val="22"/>
          <w:highlight w:val="yellow"/>
        </w:rPr>
        <w:t>section</w:t>
      </w:r>
      <w:r w:rsidRPr="00E25EC2">
        <w:rPr>
          <w:rFonts w:ascii="Arial" w:hAnsi="Arial" w:cs="Arial"/>
          <w:sz w:val="22"/>
          <w:szCs w:val="22"/>
          <w:highlight w:val="yellow"/>
        </w:rPr>
        <w:t xml:space="preserve"> </w:t>
      </w:r>
      <w:r w:rsidR="00E25EC2" w:rsidRPr="00E25EC2">
        <w:rPr>
          <w:rFonts w:ascii="Arial" w:hAnsi="Arial" w:cs="Arial"/>
          <w:sz w:val="22"/>
          <w:szCs w:val="22"/>
          <w:highlight w:val="yellow"/>
        </w:rPr>
        <w:t>5</w:t>
      </w:r>
      <w:r w:rsidR="00931E82" w:rsidRPr="00FB1F21">
        <w:rPr>
          <w:rFonts w:ascii="Arial" w:hAnsi="Arial" w:cs="Arial"/>
          <w:sz w:val="22"/>
          <w:szCs w:val="22"/>
        </w:rPr>
        <w:t xml:space="preserve"> </w:t>
      </w:r>
      <w:r w:rsidRPr="00FB1F21">
        <w:rPr>
          <w:rFonts w:ascii="Arial" w:hAnsi="Arial" w:cs="Arial"/>
          <w:sz w:val="22"/>
          <w:szCs w:val="22"/>
        </w:rPr>
        <w:t xml:space="preserve">regarding eligibility and the need for the first 6 cycles to be self-funded). </w:t>
      </w:r>
    </w:p>
    <w:p w14:paraId="0C7C34A7" w14:textId="77777777" w:rsidR="005F2E44" w:rsidRPr="00016A02" w:rsidRDefault="005F2E44" w:rsidP="00016A02">
      <w:pPr>
        <w:rPr>
          <w:rFonts w:ascii="Arial" w:hAnsi="Arial" w:cs="Arial"/>
          <w:sz w:val="22"/>
          <w:szCs w:val="22"/>
        </w:rPr>
      </w:pPr>
    </w:p>
    <w:p w14:paraId="13FC8F50" w14:textId="073965A0" w:rsidR="005F2E44" w:rsidRPr="00FB1F21" w:rsidRDefault="005F2E44" w:rsidP="000C46ED">
      <w:pPr>
        <w:pStyle w:val="ListParagraph"/>
        <w:numPr>
          <w:ilvl w:val="1"/>
          <w:numId w:val="3"/>
        </w:numPr>
        <w:ind w:left="851" w:hanging="851"/>
        <w:rPr>
          <w:rFonts w:ascii="Arial" w:hAnsi="Arial" w:cs="Arial"/>
          <w:sz w:val="22"/>
          <w:szCs w:val="22"/>
        </w:rPr>
      </w:pPr>
      <w:r w:rsidRPr="00FB1F21">
        <w:rPr>
          <w:rFonts w:ascii="Arial" w:hAnsi="Arial" w:cs="Arial"/>
          <w:sz w:val="22"/>
          <w:szCs w:val="22"/>
        </w:rPr>
        <w:t xml:space="preserve">For people in </w:t>
      </w:r>
      <w:r w:rsidR="00813952">
        <w:rPr>
          <w:rFonts w:ascii="Arial" w:hAnsi="Arial" w:cs="Arial"/>
          <w:sz w:val="22"/>
          <w:szCs w:val="22"/>
          <w:highlight w:val="yellow"/>
        </w:rPr>
        <w:t>1</w:t>
      </w:r>
      <w:r w:rsidR="004D75C3">
        <w:rPr>
          <w:rFonts w:ascii="Arial" w:hAnsi="Arial" w:cs="Arial"/>
          <w:sz w:val="22"/>
          <w:szCs w:val="22"/>
          <w:highlight w:val="yellow"/>
        </w:rPr>
        <w:t>1</w:t>
      </w:r>
      <w:r w:rsidRPr="00B55331">
        <w:rPr>
          <w:rFonts w:ascii="Arial" w:hAnsi="Arial" w:cs="Arial"/>
          <w:sz w:val="22"/>
          <w:szCs w:val="22"/>
          <w:highlight w:val="yellow"/>
        </w:rPr>
        <w:t>.1</w:t>
      </w:r>
      <w:r w:rsidRPr="00FB1F21">
        <w:rPr>
          <w:rFonts w:ascii="Arial" w:hAnsi="Arial" w:cs="Arial"/>
          <w:sz w:val="22"/>
          <w:szCs w:val="22"/>
        </w:rPr>
        <w:t xml:space="preserve"> above who have not conceived after 6 cycles of donor or partner insemination, despite evidence of normal ovulation, tubal patency and semen analysis, should be offered a further 6 cycles of unstimulated intrauterine insemination before IVF is considered.</w:t>
      </w:r>
    </w:p>
    <w:p w14:paraId="5B129CB8" w14:textId="77777777" w:rsidR="005F2E44" w:rsidRPr="00016A02" w:rsidRDefault="005F2E44" w:rsidP="00016A02">
      <w:pPr>
        <w:rPr>
          <w:rFonts w:ascii="Arial" w:hAnsi="Arial" w:cs="Arial"/>
          <w:sz w:val="22"/>
          <w:szCs w:val="22"/>
        </w:rPr>
      </w:pPr>
    </w:p>
    <w:p w14:paraId="74132292" w14:textId="60A4F5B6" w:rsidR="005F2E44" w:rsidRPr="00FB1F21" w:rsidRDefault="005F2E44" w:rsidP="000C46ED">
      <w:pPr>
        <w:pStyle w:val="ListParagraph"/>
        <w:numPr>
          <w:ilvl w:val="1"/>
          <w:numId w:val="3"/>
        </w:numPr>
        <w:ind w:left="851" w:hanging="851"/>
        <w:rPr>
          <w:rFonts w:ascii="Arial" w:hAnsi="Arial" w:cs="Arial"/>
          <w:sz w:val="22"/>
          <w:szCs w:val="22"/>
        </w:rPr>
      </w:pPr>
      <w:r w:rsidRPr="00FB1F21">
        <w:rPr>
          <w:rFonts w:ascii="Arial" w:hAnsi="Arial" w:cs="Arial"/>
          <w:sz w:val="22"/>
          <w:szCs w:val="22"/>
        </w:rPr>
        <w:t xml:space="preserve">For people with unexplained infertility, mild endometriosis or 'mild male factor infertility', who are having regular unprotected sexual intercourse, do not routinely offer intrauterine insemination, either with or without ovarian stimulation. </w:t>
      </w:r>
      <w:r w:rsidR="000B61A2">
        <w:rPr>
          <w:rFonts w:ascii="Arial" w:hAnsi="Arial" w:cs="Arial"/>
          <w:sz w:val="22"/>
          <w:szCs w:val="22"/>
        </w:rPr>
        <w:t xml:space="preserve"> </w:t>
      </w:r>
      <w:r w:rsidRPr="00FB1F21">
        <w:rPr>
          <w:rFonts w:ascii="Arial" w:hAnsi="Arial" w:cs="Arial"/>
          <w:sz w:val="22"/>
          <w:szCs w:val="22"/>
        </w:rPr>
        <w:t xml:space="preserve">Advise them to try to conceive for a total of 2 years (or 12 months for women aged 36 and over) as per </w:t>
      </w:r>
      <w:r w:rsidRPr="0065052A">
        <w:rPr>
          <w:rFonts w:ascii="Arial" w:hAnsi="Arial" w:cs="Arial"/>
          <w:sz w:val="22"/>
          <w:szCs w:val="22"/>
          <w:highlight w:val="yellow"/>
        </w:rPr>
        <w:t xml:space="preserve">section </w:t>
      </w:r>
      <w:r w:rsidR="00661B64" w:rsidRPr="00661B64">
        <w:rPr>
          <w:rFonts w:ascii="Arial" w:hAnsi="Arial" w:cs="Arial"/>
          <w:sz w:val="22"/>
          <w:szCs w:val="22"/>
          <w:highlight w:val="yellow"/>
        </w:rPr>
        <w:t>4</w:t>
      </w:r>
      <w:r w:rsidRPr="00FB1F21">
        <w:rPr>
          <w:rFonts w:ascii="Arial" w:hAnsi="Arial" w:cs="Arial"/>
          <w:sz w:val="22"/>
          <w:szCs w:val="22"/>
        </w:rPr>
        <w:t xml:space="preserve"> before IVF will be considered.</w:t>
      </w:r>
    </w:p>
    <w:p w14:paraId="1D22322D" w14:textId="456C126F" w:rsidR="005F2E44" w:rsidRPr="00FB1F21" w:rsidRDefault="005F2E44" w:rsidP="00016A02">
      <w:pPr>
        <w:pStyle w:val="ListParagraph"/>
        <w:ind w:left="567"/>
        <w:rPr>
          <w:rFonts w:ascii="Arial" w:hAnsi="Arial" w:cs="Arial"/>
          <w:sz w:val="22"/>
          <w:szCs w:val="22"/>
        </w:rPr>
      </w:pPr>
    </w:p>
    <w:p w14:paraId="43EBBAFE" w14:textId="38B8D0BF" w:rsidR="005F2E44" w:rsidRPr="00FB1F21" w:rsidRDefault="005F2E44" w:rsidP="000C46ED">
      <w:pPr>
        <w:pStyle w:val="ListParagraph"/>
        <w:numPr>
          <w:ilvl w:val="1"/>
          <w:numId w:val="3"/>
        </w:numPr>
        <w:ind w:left="851" w:hanging="851"/>
        <w:rPr>
          <w:rFonts w:ascii="Arial" w:hAnsi="Arial" w:cs="Arial"/>
          <w:sz w:val="22"/>
          <w:szCs w:val="22"/>
        </w:rPr>
      </w:pPr>
      <w:r w:rsidRPr="00FB1F21">
        <w:rPr>
          <w:rFonts w:ascii="Arial" w:hAnsi="Arial" w:cs="Arial"/>
          <w:sz w:val="22"/>
          <w:szCs w:val="22"/>
        </w:rPr>
        <w:t xml:space="preserve">Donor insemination (with IUI) </w:t>
      </w:r>
      <w:r w:rsidRPr="00565B0E">
        <w:rPr>
          <w:rFonts w:ascii="Arial" w:hAnsi="Arial" w:cs="Arial"/>
          <w:sz w:val="22"/>
          <w:szCs w:val="22"/>
        </w:rPr>
        <w:t xml:space="preserve">may </w:t>
      </w:r>
      <w:r w:rsidRPr="00FB1F21">
        <w:rPr>
          <w:rFonts w:ascii="Arial" w:hAnsi="Arial" w:cs="Arial"/>
          <w:sz w:val="22"/>
          <w:szCs w:val="22"/>
        </w:rPr>
        <w:t xml:space="preserve">be </w:t>
      </w:r>
      <w:r w:rsidR="00565B0E">
        <w:rPr>
          <w:rFonts w:ascii="Arial" w:hAnsi="Arial" w:cs="Arial"/>
          <w:sz w:val="22"/>
          <w:szCs w:val="22"/>
        </w:rPr>
        <w:t>considered</w:t>
      </w:r>
      <w:r w:rsidRPr="00FB1F21">
        <w:rPr>
          <w:rFonts w:ascii="Arial" w:hAnsi="Arial" w:cs="Arial"/>
          <w:sz w:val="22"/>
          <w:szCs w:val="22"/>
        </w:rPr>
        <w:t xml:space="preserve"> for the following indications:</w:t>
      </w:r>
    </w:p>
    <w:p w14:paraId="45718986" w14:textId="77777777" w:rsidR="005F2E44" w:rsidRPr="00FB1F21" w:rsidRDefault="005F2E44" w:rsidP="000C46ED">
      <w:pPr>
        <w:pStyle w:val="ListParagraph"/>
        <w:numPr>
          <w:ilvl w:val="1"/>
          <w:numId w:val="16"/>
        </w:numPr>
        <w:ind w:left="1276"/>
        <w:rPr>
          <w:rFonts w:ascii="Arial" w:hAnsi="Arial" w:cs="Arial"/>
          <w:sz w:val="22"/>
          <w:szCs w:val="22"/>
        </w:rPr>
      </w:pPr>
      <w:r w:rsidRPr="00FB1F21">
        <w:rPr>
          <w:rFonts w:ascii="Arial" w:hAnsi="Arial" w:cs="Arial"/>
          <w:sz w:val="22"/>
          <w:szCs w:val="22"/>
        </w:rPr>
        <w:t>obstructive azoospermia</w:t>
      </w:r>
    </w:p>
    <w:p w14:paraId="2FB5BF0F" w14:textId="77777777" w:rsidR="005F2E44" w:rsidRPr="00FB1F21" w:rsidRDefault="005F2E44" w:rsidP="000C46ED">
      <w:pPr>
        <w:pStyle w:val="ListParagraph"/>
        <w:numPr>
          <w:ilvl w:val="1"/>
          <w:numId w:val="16"/>
        </w:numPr>
        <w:ind w:left="1276"/>
        <w:rPr>
          <w:rFonts w:ascii="Arial" w:hAnsi="Arial" w:cs="Arial"/>
          <w:sz w:val="22"/>
          <w:szCs w:val="22"/>
        </w:rPr>
      </w:pPr>
      <w:r w:rsidRPr="00FB1F21">
        <w:rPr>
          <w:rFonts w:ascii="Arial" w:hAnsi="Arial" w:cs="Arial"/>
          <w:sz w:val="22"/>
          <w:szCs w:val="22"/>
        </w:rPr>
        <w:t>non-obstructive azoospermia</w:t>
      </w:r>
    </w:p>
    <w:p w14:paraId="6A6F7312" w14:textId="77777777" w:rsidR="005F2E44" w:rsidRPr="00FB1F21" w:rsidRDefault="005F2E44" w:rsidP="000C46ED">
      <w:pPr>
        <w:pStyle w:val="ListParagraph"/>
        <w:numPr>
          <w:ilvl w:val="1"/>
          <w:numId w:val="16"/>
        </w:numPr>
        <w:ind w:left="1276"/>
        <w:rPr>
          <w:rFonts w:ascii="Arial" w:hAnsi="Arial" w:cs="Arial"/>
          <w:sz w:val="22"/>
          <w:szCs w:val="22"/>
        </w:rPr>
      </w:pPr>
      <w:r w:rsidRPr="00FB1F21">
        <w:rPr>
          <w:rFonts w:ascii="Arial" w:hAnsi="Arial" w:cs="Arial"/>
          <w:sz w:val="22"/>
          <w:szCs w:val="22"/>
        </w:rPr>
        <w:t>severe deficits in semen quality in couples who do not wish to undergo intracytoplasmic sperm injection (ICSI).</w:t>
      </w:r>
    </w:p>
    <w:p w14:paraId="509E6476" w14:textId="77777777" w:rsidR="005F2E44" w:rsidRPr="00FB1F21" w:rsidRDefault="005F2E44" w:rsidP="000C46ED">
      <w:pPr>
        <w:pStyle w:val="ListParagraph"/>
        <w:numPr>
          <w:ilvl w:val="1"/>
          <w:numId w:val="16"/>
        </w:numPr>
        <w:ind w:left="1276"/>
        <w:rPr>
          <w:rFonts w:ascii="Arial" w:hAnsi="Arial" w:cs="Arial"/>
          <w:sz w:val="22"/>
          <w:szCs w:val="22"/>
        </w:rPr>
      </w:pPr>
      <w:r w:rsidRPr="00FB1F21">
        <w:rPr>
          <w:rFonts w:ascii="Arial" w:hAnsi="Arial" w:cs="Arial"/>
          <w:sz w:val="22"/>
          <w:szCs w:val="22"/>
        </w:rPr>
        <w:t>high risk of transmitting a genetic disorder to the offspring</w:t>
      </w:r>
    </w:p>
    <w:p w14:paraId="6780E46C" w14:textId="77777777" w:rsidR="005F2E44" w:rsidRPr="00FB1F21" w:rsidRDefault="005F2E44" w:rsidP="000C46ED">
      <w:pPr>
        <w:pStyle w:val="ListParagraph"/>
        <w:numPr>
          <w:ilvl w:val="1"/>
          <w:numId w:val="16"/>
        </w:numPr>
        <w:ind w:left="1276"/>
        <w:rPr>
          <w:rFonts w:ascii="Arial" w:hAnsi="Arial" w:cs="Arial"/>
          <w:sz w:val="22"/>
          <w:szCs w:val="22"/>
        </w:rPr>
      </w:pPr>
      <w:r w:rsidRPr="00FB1F21">
        <w:rPr>
          <w:rFonts w:ascii="Arial" w:hAnsi="Arial" w:cs="Arial"/>
          <w:sz w:val="22"/>
          <w:szCs w:val="22"/>
        </w:rPr>
        <w:t>high risk of transmitting infectious disease to the offspring or woman from the man</w:t>
      </w:r>
    </w:p>
    <w:p w14:paraId="4F5312BA" w14:textId="5EC90E34" w:rsidR="005F2E44" w:rsidRDefault="005F2E44" w:rsidP="000C46ED">
      <w:pPr>
        <w:pStyle w:val="ListParagraph"/>
        <w:numPr>
          <w:ilvl w:val="1"/>
          <w:numId w:val="16"/>
        </w:numPr>
        <w:ind w:left="1276"/>
        <w:rPr>
          <w:rFonts w:ascii="Arial" w:hAnsi="Arial" w:cs="Arial"/>
          <w:sz w:val="22"/>
          <w:szCs w:val="22"/>
        </w:rPr>
      </w:pPr>
      <w:r w:rsidRPr="00FB1F21">
        <w:rPr>
          <w:rFonts w:ascii="Arial" w:hAnsi="Arial" w:cs="Arial"/>
          <w:sz w:val="22"/>
          <w:szCs w:val="22"/>
        </w:rPr>
        <w:t>severe rhesus isoimmunisation</w:t>
      </w:r>
    </w:p>
    <w:p w14:paraId="52FDFDE4" w14:textId="77777777" w:rsidR="00016A02" w:rsidRPr="00016A02" w:rsidRDefault="00016A02" w:rsidP="00016A02">
      <w:pPr>
        <w:rPr>
          <w:rFonts w:ascii="Arial" w:hAnsi="Arial" w:cs="Arial"/>
          <w:sz w:val="22"/>
          <w:szCs w:val="22"/>
        </w:rPr>
      </w:pPr>
    </w:p>
    <w:p w14:paraId="41023805" w14:textId="1A7A514A" w:rsidR="005F2E44" w:rsidRPr="00FB1F21" w:rsidRDefault="005F2E44" w:rsidP="000C46ED">
      <w:pPr>
        <w:pStyle w:val="ListParagraph"/>
        <w:numPr>
          <w:ilvl w:val="1"/>
          <w:numId w:val="3"/>
        </w:numPr>
        <w:ind w:left="851" w:hanging="851"/>
        <w:rPr>
          <w:rFonts w:ascii="Arial" w:hAnsi="Arial" w:cs="Arial"/>
          <w:sz w:val="22"/>
          <w:szCs w:val="22"/>
        </w:rPr>
      </w:pPr>
      <w:r w:rsidRPr="00FB1F21">
        <w:rPr>
          <w:rFonts w:ascii="Arial" w:hAnsi="Arial" w:cs="Arial"/>
          <w:sz w:val="22"/>
          <w:szCs w:val="22"/>
        </w:rPr>
        <w:t>Stimulated IUI will be funded where clinically indicated, due concern must be given to the risk of multiple births in this situation and insemination abandoned if this is felt to be a possibility.</w:t>
      </w:r>
    </w:p>
    <w:p w14:paraId="0D2BF87A" w14:textId="65627A43" w:rsidR="005F2E44" w:rsidRPr="00FB1F21" w:rsidRDefault="005F2E44" w:rsidP="00FB1F21">
      <w:pPr>
        <w:pStyle w:val="ListParagraph"/>
        <w:ind w:left="567"/>
        <w:rPr>
          <w:rFonts w:ascii="Arial" w:hAnsi="Arial" w:cs="Arial"/>
          <w:sz w:val="22"/>
          <w:szCs w:val="22"/>
        </w:rPr>
      </w:pPr>
    </w:p>
    <w:p w14:paraId="6AE81FEF" w14:textId="23A9D129" w:rsidR="005F2E44" w:rsidRPr="00FB1F21" w:rsidRDefault="005F2E44" w:rsidP="000C46ED">
      <w:pPr>
        <w:pStyle w:val="ListParagraph"/>
        <w:numPr>
          <w:ilvl w:val="1"/>
          <w:numId w:val="3"/>
        </w:numPr>
        <w:ind w:left="851" w:hanging="851"/>
        <w:rPr>
          <w:rFonts w:ascii="Arial" w:hAnsi="Arial" w:cs="Arial"/>
          <w:sz w:val="22"/>
          <w:szCs w:val="22"/>
        </w:rPr>
      </w:pPr>
      <w:r w:rsidRPr="00FB1F21">
        <w:rPr>
          <w:rFonts w:ascii="Arial" w:hAnsi="Arial" w:cs="Arial"/>
          <w:sz w:val="22"/>
          <w:szCs w:val="22"/>
        </w:rPr>
        <w:t>Patients who fail to achieve a pregnancy using IUI/DI will be considered for IVF.</w:t>
      </w:r>
    </w:p>
    <w:p w14:paraId="4995407A" w14:textId="77777777" w:rsidR="00016A02" w:rsidRPr="00016A02" w:rsidRDefault="00016A02" w:rsidP="00016A02">
      <w:pPr>
        <w:rPr>
          <w:rFonts w:ascii="Arial" w:hAnsi="Arial" w:cs="Arial"/>
          <w:sz w:val="22"/>
          <w:szCs w:val="22"/>
        </w:rPr>
      </w:pPr>
    </w:p>
    <w:p w14:paraId="661DF5D4" w14:textId="0B334972" w:rsidR="005F2E44" w:rsidRPr="00FB1F21" w:rsidRDefault="005F2E44" w:rsidP="000C46ED">
      <w:pPr>
        <w:pStyle w:val="ListParagraph"/>
        <w:numPr>
          <w:ilvl w:val="1"/>
          <w:numId w:val="3"/>
        </w:numPr>
        <w:ind w:left="851" w:hanging="851"/>
        <w:rPr>
          <w:rFonts w:ascii="Arial" w:hAnsi="Arial" w:cs="Arial"/>
          <w:sz w:val="22"/>
          <w:szCs w:val="22"/>
        </w:rPr>
      </w:pPr>
      <w:r w:rsidRPr="00FB1F21">
        <w:rPr>
          <w:rFonts w:ascii="Arial" w:hAnsi="Arial" w:cs="Arial"/>
          <w:sz w:val="22"/>
          <w:szCs w:val="22"/>
        </w:rPr>
        <w:t>For the sake of clarity, according to CG 156, 12 months of unprotected vaginal intercourse is considered to be equivalent to 6 cycles of artificial insemination. Further, the usual requirements for women aged ≥ 36 years are halved (in comparison to women aged &lt;36 years) i.e. they may be required to experience a period of “watchful waiting” of 6 months (as opposed to 12 months in younger women) and/or to undergo 3 cycles of artificial insemination (as opposed to 6 cycles in younger women).</w:t>
      </w:r>
    </w:p>
    <w:p w14:paraId="266CB656" w14:textId="77777777" w:rsidR="005F2E44" w:rsidRDefault="005F2E44" w:rsidP="00FB1F21">
      <w:pPr>
        <w:rPr>
          <w:rFonts w:ascii="Arial" w:hAnsi="Arial" w:cs="Arial"/>
          <w:sz w:val="22"/>
          <w:szCs w:val="22"/>
        </w:rPr>
      </w:pPr>
    </w:p>
    <w:p w14:paraId="008052A8" w14:textId="0769F33A" w:rsidR="0089468B" w:rsidRPr="0089468B" w:rsidRDefault="0089468B" w:rsidP="0089468B">
      <w:pPr>
        <w:pStyle w:val="ListParagraph"/>
        <w:numPr>
          <w:ilvl w:val="1"/>
          <w:numId w:val="3"/>
        </w:numPr>
        <w:ind w:left="851" w:hanging="851"/>
        <w:rPr>
          <w:rFonts w:ascii="Arial" w:hAnsi="Arial" w:cs="Arial"/>
          <w:sz w:val="22"/>
          <w:szCs w:val="22"/>
        </w:rPr>
      </w:pPr>
      <w:r w:rsidRPr="0089468B">
        <w:rPr>
          <w:rFonts w:ascii="Arial" w:hAnsi="Arial" w:cs="Arial"/>
          <w:sz w:val="22"/>
          <w:szCs w:val="22"/>
        </w:rPr>
        <w:t>Intracytoplasmic Sperm Injection (ICSI) is routinely funded for:</w:t>
      </w:r>
    </w:p>
    <w:p w14:paraId="55EF9DB1" w14:textId="77777777" w:rsidR="0089468B" w:rsidRPr="0089468B" w:rsidRDefault="0089468B" w:rsidP="0089468B">
      <w:pPr>
        <w:pStyle w:val="ListParagraph"/>
        <w:numPr>
          <w:ilvl w:val="1"/>
          <w:numId w:val="16"/>
        </w:numPr>
        <w:ind w:left="1276"/>
        <w:rPr>
          <w:rFonts w:ascii="Arial" w:hAnsi="Arial" w:cs="Arial"/>
          <w:sz w:val="22"/>
          <w:szCs w:val="22"/>
        </w:rPr>
      </w:pPr>
      <w:r w:rsidRPr="0089468B">
        <w:rPr>
          <w:rFonts w:ascii="Arial" w:hAnsi="Arial" w:cs="Arial"/>
          <w:sz w:val="22"/>
          <w:szCs w:val="22"/>
        </w:rPr>
        <w:t>severe deficits in semen quality or</w:t>
      </w:r>
    </w:p>
    <w:p w14:paraId="64818503" w14:textId="77777777" w:rsidR="0089468B" w:rsidRPr="0089468B" w:rsidRDefault="0089468B" w:rsidP="0089468B">
      <w:pPr>
        <w:pStyle w:val="ListParagraph"/>
        <w:numPr>
          <w:ilvl w:val="1"/>
          <w:numId w:val="16"/>
        </w:numPr>
        <w:ind w:left="1276"/>
        <w:rPr>
          <w:rFonts w:ascii="Arial" w:hAnsi="Arial" w:cs="Arial"/>
          <w:sz w:val="22"/>
          <w:szCs w:val="22"/>
        </w:rPr>
      </w:pPr>
      <w:r w:rsidRPr="0089468B">
        <w:rPr>
          <w:rFonts w:ascii="Arial" w:hAnsi="Arial" w:cs="Arial"/>
          <w:sz w:val="22"/>
          <w:szCs w:val="22"/>
        </w:rPr>
        <w:t xml:space="preserve">obstructive azoospermia or </w:t>
      </w:r>
    </w:p>
    <w:p w14:paraId="57D8B71B" w14:textId="77777777" w:rsidR="0089468B" w:rsidRPr="0089468B" w:rsidRDefault="0089468B" w:rsidP="0089468B">
      <w:pPr>
        <w:pStyle w:val="ListParagraph"/>
        <w:numPr>
          <w:ilvl w:val="1"/>
          <w:numId w:val="16"/>
        </w:numPr>
        <w:ind w:left="1276"/>
        <w:rPr>
          <w:rFonts w:ascii="Arial" w:hAnsi="Arial" w:cs="Arial"/>
          <w:sz w:val="22"/>
          <w:szCs w:val="22"/>
        </w:rPr>
      </w:pPr>
      <w:r w:rsidRPr="0089468B">
        <w:rPr>
          <w:rFonts w:ascii="Arial" w:hAnsi="Arial" w:cs="Arial"/>
          <w:sz w:val="22"/>
          <w:szCs w:val="22"/>
        </w:rPr>
        <w:t>non-obstructive azoospermia.</w:t>
      </w:r>
    </w:p>
    <w:p w14:paraId="6175D52F" w14:textId="77777777" w:rsidR="0089468B" w:rsidRPr="0049090E" w:rsidRDefault="0089468B" w:rsidP="00FB1F21">
      <w:pPr>
        <w:rPr>
          <w:rFonts w:ascii="Arial" w:hAnsi="Arial" w:cs="Arial"/>
          <w:sz w:val="20"/>
          <w:szCs w:val="20"/>
        </w:rPr>
      </w:pPr>
    </w:p>
    <w:p w14:paraId="69BCF404" w14:textId="42743E1B" w:rsidR="00C35DF5" w:rsidRPr="00B12705" w:rsidRDefault="005F2E44" w:rsidP="000C46ED">
      <w:pPr>
        <w:pStyle w:val="Heading2"/>
        <w:numPr>
          <w:ilvl w:val="0"/>
          <w:numId w:val="3"/>
        </w:numPr>
        <w:ind w:left="851" w:hanging="851"/>
        <w:rPr>
          <w:rFonts w:eastAsiaTheme="minorHAnsi" w:cs="Arial"/>
          <w:b/>
          <w:bCs/>
          <w:sz w:val="36"/>
          <w:szCs w:val="36"/>
          <w:lang w:eastAsia="en-US"/>
        </w:rPr>
      </w:pPr>
      <w:bookmarkStart w:id="13" w:name="_Toc199755661"/>
      <w:r w:rsidRPr="00B12705">
        <w:rPr>
          <w:rFonts w:eastAsiaTheme="minorHAnsi" w:cs="Arial"/>
          <w:b/>
          <w:bCs/>
          <w:sz w:val="36"/>
          <w:szCs w:val="36"/>
          <w:lang w:eastAsia="en-US"/>
        </w:rPr>
        <w:lastRenderedPageBreak/>
        <w:t>IVF</w:t>
      </w:r>
      <w:bookmarkEnd w:id="13"/>
      <w:r w:rsidRPr="00B12705">
        <w:rPr>
          <w:rFonts w:eastAsiaTheme="minorHAnsi" w:cs="Arial"/>
          <w:b/>
          <w:bCs/>
          <w:sz w:val="36"/>
          <w:szCs w:val="36"/>
          <w:lang w:eastAsia="en-US"/>
        </w:rPr>
        <w:t xml:space="preserve"> </w:t>
      </w:r>
    </w:p>
    <w:p w14:paraId="33688FF1" w14:textId="77777777" w:rsidR="00C35DF5" w:rsidRPr="0049090E" w:rsidRDefault="00C35DF5" w:rsidP="00C35DF5">
      <w:pPr>
        <w:rPr>
          <w:rFonts w:ascii="Arial" w:hAnsi="Arial" w:cs="Arial"/>
          <w:sz w:val="20"/>
          <w:szCs w:val="20"/>
        </w:rPr>
      </w:pPr>
    </w:p>
    <w:p w14:paraId="339BBF6F" w14:textId="2EF6D27B" w:rsidR="005F2E44" w:rsidRPr="00B12705" w:rsidRDefault="005F2E44" w:rsidP="00F60A04">
      <w:pPr>
        <w:pStyle w:val="Heading3"/>
        <w:rPr>
          <w:rFonts w:eastAsiaTheme="minorHAnsi"/>
          <w:b/>
          <w:bCs/>
          <w:lang w:eastAsia="en-US"/>
        </w:rPr>
      </w:pPr>
      <w:bookmarkStart w:id="14" w:name="_Toc199755662"/>
      <w:r w:rsidRPr="00B12705">
        <w:rPr>
          <w:rFonts w:eastAsiaTheme="minorHAnsi"/>
          <w:b/>
          <w:bCs/>
          <w:lang w:eastAsia="en-US"/>
        </w:rPr>
        <w:t>Definition</w:t>
      </w:r>
      <w:bookmarkEnd w:id="14"/>
      <w:r w:rsidRPr="00B12705">
        <w:rPr>
          <w:rFonts w:eastAsiaTheme="minorHAnsi"/>
          <w:b/>
          <w:bCs/>
          <w:lang w:eastAsia="en-US"/>
        </w:rPr>
        <w:t xml:space="preserve"> </w:t>
      </w:r>
    </w:p>
    <w:p w14:paraId="08E575CD" w14:textId="77777777" w:rsidR="000A5B69" w:rsidRPr="0049090E" w:rsidRDefault="000A5B69" w:rsidP="00D51825">
      <w:pPr>
        <w:rPr>
          <w:rFonts w:ascii="Arial" w:hAnsi="Arial" w:cs="Arial"/>
          <w:sz w:val="20"/>
          <w:szCs w:val="20"/>
        </w:rPr>
      </w:pPr>
    </w:p>
    <w:p w14:paraId="789F5F9F" w14:textId="77777777" w:rsidR="00940C43" w:rsidRDefault="002D62EA" w:rsidP="002D62EA">
      <w:pPr>
        <w:pStyle w:val="ListParagraph"/>
        <w:numPr>
          <w:ilvl w:val="1"/>
          <w:numId w:val="3"/>
        </w:numPr>
        <w:ind w:left="851" w:hanging="851"/>
        <w:rPr>
          <w:rFonts w:ascii="Arial" w:hAnsi="Arial" w:cs="Arial"/>
          <w:bCs/>
          <w:sz w:val="22"/>
          <w:szCs w:val="22"/>
        </w:rPr>
      </w:pPr>
      <w:r w:rsidRPr="002D62EA">
        <w:rPr>
          <w:rFonts w:ascii="Arial" w:hAnsi="Arial" w:cs="Arial"/>
          <w:bCs/>
          <w:sz w:val="22"/>
          <w:szCs w:val="22"/>
        </w:rPr>
        <w:t xml:space="preserve">A full cycle of IVF (with or without ICSI) is defined as one episode of ovarian stimulation and the transfer of all resultant fresh and/or frozen embryo(s).  If there are any remaining frozen embryos, the cycle is only deemed to have ended when </w:t>
      </w:r>
      <w:r w:rsidR="00B337E1" w:rsidRPr="002D62EA">
        <w:rPr>
          <w:rFonts w:ascii="Arial" w:hAnsi="Arial" w:cs="Arial"/>
          <w:bCs/>
          <w:sz w:val="22"/>
          <w:szCs w:val="22"/>
        </w:rPr>
        <w:t>all</w:t>
      </w:r>
      <w:r w:rsidRPr="002D62EA">
        <w:rPr>
          <w:rFonts w:ascii="Arial" w:hAnsi="Arial" w:cs="Arial"/>
          <w:bCs/>
          <w:sz w:val="22"/>
          <w:szCs w:val="22"/>
        </w:rPr>
        <w:t xml:space="preserve"> these embryos have been used up or </w:t>
      </w:r>
      <w:r w:rsidRPr="002D62EA">
        <w:rPr>
          <w:rFonts w:ascii="Arial" w:hAnsi="Arial" w:cs="Arial"/>
          <w:sz w:val="22"/>
          <w:szCs w:val="22"/>
        </w:rPr>
        <w:t>if a pregnancy leading to a live birth occurs or the patient adopts a child (i</w:t>
      </w:r>
      <w:r w:rsidR="00B337E1">
        <w:rPr>
          <w:rFonts w:ascii="Arial" w:hAnsi="Arial" w:cs="Arial"/>
          <w:sz w:val="22"/>
          <w:szCs w:val="22"/>
        </w:rPr>
        <w:t>.</w:t>
      </w:r>
      <w:r w:rsidRPr="002D62EA">
        <w:rPr>
          <w:rFonts w:ascii="Arial" w:hAnsi="Arial" w:cs="Arial"/>
          <w:sz w:val="22"/>
          <w:szCs w:val="22"/>
        </w:rPr>
        <w:t xml:space="preserve">e. in accordance with the ICB’s policy on “Childlessness”). </w:t>
      </w:r>
      <w:r w:rsidRPr="002D62EA">
        <w:rPr>
          <w:rFonts w:ascii="Arial" w:hAnsi="Arial" w:cs="Arial"/>
          <w:bCs/>
          <w:sz w:val="22"/>
          <w:szCs w:val="22"/>
        </w:rPr>
        <w:t xml:space="preserve"> </w:t>
      </w:r>
    </w:p>
    <w:p w14:paraId="2A96FC9B" w14:textId="77777777" w:rsidR="00940C43" w:rsidRPr="00940C43" w:rsidRDefault="00940C43" w:rsidP="00940C43">
      <w:pPr>
        <w:rPr>
          <w:rFonts w:ascii="Arial" w:hAnsi="Arial" w:cs="Arial"/>
          <w:bCs/>
          <w:sz w:val="22"/>
          <w:szCs w:val="22"/>
        </w:rPr>
      </w:pPr>
    </w:p>
    <w:p w14:paraId="3DDB8388" w14:textId="15243F24" w:rsidR="002D62EA" w:rsidRPr="002D62EA" w:rsidRDefault="002D62EA" w:rsidP="002D62EA">
      <w:pPr>
        <w:pStyle w:val="ListParagraph"/>
        <w:numPr>
          <w:ilvl w:val="1"/>
          <w:numId w:val="3"/>
        </w:numPr>
        <w:ind w:left="851" w:hanging="851"/>
        <w:rPr>
          <w:rFonts w:ascii="Arial" w:hAnsi="Arial" w:cs="Arial"/>
          <w:bCs/>
          <w:sz w:val="22"/>
          <w:szCs w:val="22"/>
        </w:rPr>
      </w:pPr>
      <w:r w:rsidRPr="002D62EA">
        <w:rPr>
          <w:rFonts w:ascii="Arial" w:hAnsi="Arial" w:cs="Arial"/>
          <w:bCs/>
          <w:sz w:val="22"/>
          <w:szCs w:val="22"/>
        </w:rPr>
        <w:t xml:space="preserve">Following ovarian stimulation, a </w:t>
      </w:r>
      <w:r w:rsidRPr="002D62EA">
        <w:rPr>
          <w:rFonts w:ascii="Arial" w:hAnsi="Arial" w:cs="Arial"/>
          <w:bCs/>
          <w:i/>
          <w:iCs/>
          <w:sz w:val="22"/>
          <w:szCs w:val="22"/>
        </w:rPr>
        <w:t>cancelled</w:t>
      </w:r>
      <w:r w:rsidRPr="002D62EA">
        <w:rPr>
          <w:rFonts w:ascii="Arial" w:hAnsi="Arial" w:cs="Arial"/>
          <w:bCs/>
          <w:sz w:val="22"/>
          <w:szCs w:val="22"/>
        </w:rPr>
        <w:t xml:space="preserve"> </w:t>
      </w:r>
      <w:r w:rsidRPr="002D62EA">
        <w:rPr>
          <w:rFonts w:ascii="Arial" w:hAnsi="Arial" w:cs="Arial"/>
          <w:bCs/>
          <w:i/>
          <w:iCs/>
          <w:sz w:val="22"/>
          <w:szCs w:val="22"/>
        </w:rPr>
        <w:t>IVF cycle</w:t>
      </w:r>
      <w:r w:rsidRPr="002D62EA">
        <w:rPr>
          <w:rFonts w:ascii="Arial" w:hAnsi="Arial" w:cs="Arial"/>
          <w:bCs/>
          <w:sz w:val="22"/>
          <w:szCs w:val="22"/>
        </w:rPr>
        <w:t xml:space="preserve"> is defined as one where an egg collection procedure is not undertaken. Should this occur, this would not count as one of the patient’s “cycles” unless the reason for cancellation is thought to be due to low ovarian reserve.</w:t>
      </w:r>
    </w:p>
    <w:p w14:paraId="2951BB18" w14:textId="77777777" w:rsidR="002D62EA" w:rsidRPr="002D62EA" w:rsidRDefault="002D62EA" w:rsidP="002D62EA">
      <w:pPr>
        <w:rPr>
          <w:rFonts w:ascii="Arial" w:hAnsi="Arial" w:cs="Arial"/>
          <w:bCs/>
          <w:sz w:val="22"/>
          <w:szCs w:val="22"/>
        </w:rPr>
      </w:pPr>
    </w:p>
    <w:p w14:paraId="3F835485" w14:textId="77777777" w:rsidR="002D62EA" w:rsidRPr="002D62EA" w:rsidRDefault="002D62EA" w:rsidP="002D62EA">
      <w:pPr>
        <w:pStyle w:val="ListParagraph"/>
        <w:numPr>
          <w:ilvl w:val="1"/>
          <w:numId w:val="3"/>
        </w:numPr>
        <w:ind w:left="851" w:hanging="851"/>
        <w:rPr>
          <w:rFonts w:ascii="Arial" w:hAnsi="Arial" w:cs="Arial"/>
          <w:bCs/>
          <w:sz w:val="22"/>
          <w:szCs w:val="22"/>
        </w:rPr>
      </w:pPr>
      <w:r w:rsidRPr="002D62EA">
        <w:rPr>
          <w:rFonts w:ascii="Arial" w:hAnsi="Arial" w:cs="Arial"/>
          <w:bCs/>
          <w:sz w:val="22"/>
          <w:szCs w:val="22"/>
        </w:rPr>
        <w:t>For the sake of clarity,</w:t>
      </w:r>
      <w:r w:rsidRPr="002D62EA">
        <w:rPr>
          <w:rFonts w:ascii="Arial" w:hAnsi="Arial" w:cs="Arial"/>
          <w:sz w:val="22"/>
          <w:szCs w:val="22"/>
        </w:rPr>
        <w:t xml:space="preserve"> </w:t>
      </w:r>
      <w:r w:rsidRPr="002D62EA">
        <w:rPr>
          <w:rFonts w:ascii="Arial" w:hAnsi="Arial" w:cs="Arial"/>
          <w:bCs/>
          <w:sz w:val="22"/>
          <w:szCs w:val="22"/>
        </w:rPr>
        <w:t>all stored and viable embryos should be replaced before a new cycle of ovarian stimulation can commence. This includes embryos stored by private providers.</w:t>
      </w:r>
    </w:p>
    <w:p w14:paraId="4F012EAF" w14:textId="77777777" w:rsidR="005F2E44" w:rsidRPr="0049090E" w:rsidRDefault="005F2E44" w:rsidP="00D51825">
      <w:pPr>
        <w:rPr>
          <w:rFonts w:ascii="Arial" w:hAnsi="Arial" w:cs="Arial"/>
          <w:sz w:val="20"/>
          <w:szCs w:val="20"/>
        </w:rPr>
      </w:pPr>
    </w:p>
    <w:p w14:paraId="5BE43411" w14:textId="23C2F8BE" w:rsidR="002706DE" w:rsidRPr="00B12705" w:rsidRDefault="002706DE" w:rsidP="002706DE">
      <w:pPr>
        <w:pStyle w:val="Heading3"/>
        <w:rPr>
          <w:rFonts w:eastAsiaTheme="minorHAnsi"/>
          <w:b/>
          <w:bCs/>
          <w:lang w:eastAsia="en-US"/>
        </w:rPr>
      </w:pPr>
      <w:bookmarkStart w:id="15" w:name="_Toc199755663"/>
      <w:r w:rsidRPr="00B12705">
        <w:rPr>
          <w:rFonts w:eastAsiaTheme="minorHAnsi"/>
          <w:b/>
          <w:bCs/>
          <w:lang w:eastAsia="en-US"/>
        </w:rPr>
        <w:t>Number of Cycles</w:t>
      </w:r>
      <w:bookmarkEnd w:id="15"/>
    </w:p>
    <w:p w14:paraId="272078B1" w14:textId="77777777" w:rsidR="002706DE" w:rsidRPr="0049090E" w:rsidRDefault="002706DE" w:rsidP="00D51825">
      <w:pPr>
        <w:rPr>
          <w:rFonts w:ascii="Arial" w:hAnsi="Arial" w:cs="Arial"/>
          <w:sz w:val="20"/>
          <w:szCs w:val="20"/>
        </w:rPr>
      </w:pPr>
    </w:p>
    <w:p w14:paraId="7B68C2F7" w14:textId="1A1AD838" w:rsidR="005F2E44" w:rsidRPr="00A86E44" w:rsidRDefault="005F2E44" w:rsidP="001379C0">
      <w:pPr>
        <w:pStyle w:val="ListParagraph"/>
        <w:numPr>
          <w:ilvl w:val="1"/>
          <w:numId w:val="3"/>
        </w:numPr>
        <w:ind w:left="851" w:hanging="851"/>
        <w:rPr>
          <w:rFonts w:ascii="Arial" w:hAnsi="Arial" w:cs="Arial"/>
          <w:sz w:val="22"/>
          <w:szCs w:val="22"/>
        </w:rPr>
      </w:pPr>
      <w:r w:rsidRPr="00A86E44">
        <w:rPr>
          <w:rFonts w:ascii="Arial" w:hAnsi="Arial" w:cs="Arial"/>
          <w:sz w:val="22"/>
          <w:szCs w:val="22"/>
        </w:rPr>
        <w:t xml:space="preserve">For women under the age of 40 years, the maximum number of cycles permitted is </w:t>
      </w:r>
      <w:r w:rsidR="00F20C86" w:rsidRPr="007F6266">
        <w:rPr>
          <w:rFonts w:ascii="Arial" w:hAnsi="Arial" w:cs="Arial"/>
          <w:sz w:val="22"/>
          <w:szCs w:val="22"/>
        </w:rPr>
        <w:t>1</w:t>
      </w:r>
      <w:r w:rsidRPr="007F6266">
        <w:rPr>
          <w:rFonts w:ascii="Arial" w:hAnsi="Arial" w:cs="Arial"/>
          <w:sz w:val="22"/>
          <w:szCs w:val="22"/>
        </w:rPr>
        <w:t>.</w:t>
      </w:r>
    </w:p>
    <w:p w14:paraId="7D0C844C" w14:textId="77777777" w:rsidR="005F2E44" w:rsidRPr="00A86E44" w:rsidRDefault="005F2E44" w:rsidP="00D51825">
      <w:pPr>
        <w:rPr>
          <w:rFonts w:ascii="Arial" w:hAnsi="Arial" w:cs="Arial"/>
          <w:sz w:val="22"/>
          <w:szCs w:val="22"/>
        </w:rPr>
      </w:pPr>
    </w:p>
    <w:p w14:paraId="643C6080" w14:textId="2D9DCDFF" w:rsidR="005F2E44" w:rsidRPr="00D51825" w:rsidRDefault="005F2E44" w:rsidP="001379C0">
      <w:pPr>
        <w:pStyle w:val="ListParagraph"/>
        <w:numPr>
          <w:ilvl w:val="1"/>
          <w:numId w:val="3"/>
        </w:numPr>
        <w:ind w:left="851" w:hanging="851"/>
        <w:rPr>
          <w:rFonts w:ascii="Arial" w:hAnsi="Arial" w:cs="Arial"/>
          <w:sz w:val="22"/>
          <w:szCs w:val="22"/>
        </w:rPr>
      </w:pPr>
      <w:r w:rsidRPr="00D51825">
        <w:rPr>
          <w:rFonts w:ascii="Arial" w:hAnsi="Arial" w:cs="Arial"/>
          <w:sz w:val="22"/>
          <w:szCs w:val="22"/>
        </w:rPr>
        <w:t>When women aged 39 years or younger reach their 40</w:t>
      </w:r>
      <w:r w:rsidRPr="00B44E82">
        <w:rPr>
          <w:rFonts w:ascii="Arial" w:hAnsi="Arial" w:cs="Arial"/>
          <w:sz w:val="22"/>
          <w:szCs w:val="22"/>
          <w:vertAlign w:val="superscript"/>
        </w:rPr>
        <w:t>th</w:t>
      </w:r>
      <w:r w:rsidR="00B44E82">
        <w:rPr>
          <w:rFonts w:ascii="Arial" w:hAnsi="Arial" w:cs="Arial"/>
          <w:sz w:val="22"/>
          <w:szCs w:val="22"/>
        </w:rPr>
        <w:t xml:space="preserve"> </w:t>
      </w:r>
      <w:r w:rsidRPr="00D51825">
        <w:rPr>
          <w:rFonts w:ascii="Arial" w:hAnsi="Arial" w:cs="Arial"/>
          <w:sz w:val="22"/>
          <w:szCs w:val="22"/>
        </w:rPr>
        <w:t xml:space="preserve">birthday, they will be allowed to complete their cycle of treatment. </w:t>
      </w:r>
      <w:r w:rsidR="00BF7C41">
        <w:rPr>
          <w:rFonts w:ascii="Arial" w:hAnsi="Arial" w:cs="Arial"/>
          <w:sz w:val="22"/>
          <w:szCs w:val="22"/>
        </w:rPr>
        <w:t xml:space="preserve"> </w:t>
      </w:r>
      <w:r w:rsidRPr="00D51825">
        <w:rPr>
          <w:rFonts w:ascii="Arial" w:hAnsi="Arial" w:cs="Arial"/>
          <w:sz w:val="22"/>
          <w:szCs w:val="22"/>
        </w:rPr>
        <w:t>If this has been unsuccessful, no further cycles will be permitted irrespective of their entitlement based on their age on commencement of therapy.</w:t>
      </w:r>
    </w:p>
    <w:p w14:paraId="7B4F094E" w14:textId="77777777" w:rsidR="005F2E44" w:rsidRPr="00D51825" w:rsidRDefault="005F2E44" w:rsidP="00D51825">
      <w:pPr>
        <w:rPr>
          <w:rFonts w:ascii="Arial" w:hAnsi="Arial" w:cs="Arial"/>
          <w:sz w:val="22"/>
          <w:szCs w:val="22"/>
        </w:rPr>
      </w:pPr>
    </w:p>
    <w:p w14:paraId="2224EA60" w14:textId="4124D5F8" w:rsidR="005F2E44" w:rsidRPr="00D51825" w:rsidRDefault="005F2E44" w:rsidP="001379C0">
      <w:pPr>
        <w:pStyle w:val="ListParagraph"/>
        <w:numPr>
          <w:ilvl w:val="1"/>
          <w:numId w:val="3"/>
        </w:numPr>
        <w:ind w:left="851" w:hanging="851"/>
        <w:rPr>
          <w:rFonts w:ascii="Arial" w:hAnsi="Arial" w:cs="Arial"/>
          <w:sz w:val="22"/>
          <w:szCs w:val="22"/>
        </w:rPr>
      </w:pPr>
      <w:r w:rsidRPr="00D51825">
        <w:rPr>
          <w:rFonts w:ascii="Arial" w:hAnsi="Arial" w:cs="Arial"/>
          <w:sz w:val="22"/>
          <w:szCs w:val="22"/>
        </w:rPr>
        <w:t>For women aged 40 and up to 42, the ICB offers 1 full cycle provided:</w:t>
      </w:r>
    </w:p>
    <w:p w14:paraId="7D403438" w14:textId="77777777" w:rsidR="005F2E44" w:rsidRPr="00D51825" w:rsidRDefault="005F2E44" w:rsidP="000C46ED">
      <w:pPr>
        <w:pStyle w:val="ListParagraph"/>
        <w:numPr>
          <w:ilvl w:val="1"/>
          <w:numId w:val="16"/>
        </w:numPr>
        <w:ind w:left="1276"/>
        <w:rPr>
          <w:rFonts w:ascii="Arial" w:hAnsi="Arial" w:cs="Arial"/>
          <w:sz w:val="22"/>
          <w:szCs w:val="22"/>
        </w:rPr>
      </w:pPr>
      <w:r w:rsidRPr="00D51825">
        <w:rPr>
          <w:rFonts w:ascii="Arial" w:hAnsi="Arial" w:cs="Arial"/>
          <w:sz w:val="22"/>
          <w:szCs w:val="22"/>
        </w:rPr>
        <w:t>They have never previously had IVF (including private treatment).</w:t>
      </w:r>
    </w:p>
    <w:p w14:paraId="23205643" w14:textId="77777777" w:rsidR="005F2E44" w:rsidRPr="00D51825" w:rsidRDefault="005F2E44" w:rsidP="000C46ED">
      <w:pPr>
        <w:pStyle w:val="ListParagraph"/>
        <w:numPr>
          <w:ilvl w:val="1"/>
          <w:numId w:val="16"/>
        </w:numPr>
        <w:ind w:left="1276"/>
        <w:rPr>
          <w:rFonts w:ascii="Arial" w:hAnsi="Arial" w:cs="Arial"/>
          <w:sz w:val="22"/>
          <w:szCs w:val="22"/>
        </w:rPr>
      </w:pPr>
      <w:r w:rsidRPr="00D51825">
        <w:rPr>
          <w:rFonts w:ascii="Arial" w:hAnsi="Arial" w:cs="Arial"/>
          <w:sz w:val="22"/>
          <w:szCs w:val="22"/>
        </w:rPr>
        <w:t>There is no evidence of low ovarian reserve.</w:t>
      </w:r>
    </w:p>
    <w:p w14:paraId="2A99FD04" w14:textId="77777777" w:rsidR="005F2E44" w:rsidRPr="00D51825" w:rsidRDefault="005F2E44" w:rsidP="000C46ED">
      <w:pPr>
        <w:pStyle w:val="ListParagraph"/>
        <w:numPr>
          <w:ilvl w:val="1"/>
          <w:numId w:val="16"/>
        </w:numPr>
        <w:ind w:left="1276"/>
        <w:rPr>
          <w:rFonts w:ascii="Arial" w:hAnsi="Arial" w:cs="Arial"/>
          <w:sz w:val="22"/>
          <w:szCs w:val="22"/>
        </w:rPr>
      </w:pPr>
      <w:r w:rsidRPr="00D51825">
        <w:rPr>
          <w:rFonts w:ascii="Arial" w:hAnsi="Arial" w:cs="Arial"/>
          <w:sz w:val="22"/>
          <w:szCs w:val="22"/>
        </w:rPr>
        <w:t>There has been a discussion about the implications of IVF at this age.</w:t>
      </w:r>
    </w:p>
    <w:p w14:paraId="708C5087" w14:textId="711E924D" w:rsidR="005F2E44" w:rsidRPr="00D51825" w:rsidRDefault="005F2E44" w:rsidP="000C46ED">
      <w:pPr>
        <w:pStyle w:val="ListParagraph"/>
        <w:numPr>
          <w:ilvl w:val="1"/>
          <w:numId w:val="16"/>
        </w:numPr>
        <w:ind w:left="1276"/>
        <w:rPr>
          <w:rFonts w:ascii="Arial" w:hAnsi="Arial" w:cs="Arial"/>
          <w:sz w:val="22"/>
          <w:szCs w:val="22"/>
        </w:rPr>
      </w:pPr>
      <w:r w:rsidRPr="00D51825">
        <w:rPr>
          <w:rFonts w:ascii="Arial" w:hAnsi="Arial" w:cs="Arial"/>
          <w:sz w:val="22"/>
          <w:szCs w:val="22"/>
        </w:rPr>
        <w:t>The cycle must commence prior to the woman’s 43</w:t>
      </w:r>
      <w:r w:rsidRPr="000739CA">
        <w:rPr>
          <w:rFonts w:ascii="Arial" w:hAnsi="Arial" w:cs="Arial"/>
          <w:sz w:val="22"/>
          <w:szCs w:val="22"/>
          <w:vertAlign w:val="superscript"/>
        </w:rPr>
        <w:t>rd</w:t>
      </w:r>
      <w:r w:rsidR="000739CA">
        <w:rPr>
          <w:rFonts w:ascii="Arial" w:hAnsi="Arial" w:cs="Arial"/>
          <w:sz w:val="22"/>
          <w:szCs w:val="22"/>
        </w:rPr>
        <w:t xml:space="preserve"> </w:t>
      </w:r>
      <w:r w:rsidRPr="00D51825">
        <w:rPr>
          <w:rFonts w:ascii="Arial" w:hAnsi="Arial" w:cs="Arial"/>
          <w:sz w:val="22"/>
          <w:szCs w:val="22"/>
        </w:rPr>
        <w:t>birthday.</w:t>
      </w:r>
    </w:p>
    <w:p w14:paraId="51FA2F39" w14:textId="77777777" w:rsidR="005F2E44" w:rsidRPr="00D51825" w:rsidRDefault="005F2E44" w:rsidP="00D51825">
      <w:pPr>
        <w:rPr>
          <w:rFonts w:ascii="Arial" w:hAnsi="Arial" w:cs="Arial"/>
          <w:sz w:val="22"/>
          <w:szCs w:val="22"/>
        </w:rPr>
      </w:pPr>
    </w:p>
    <w:p w14:paraId="05F27201" w14:textId="54EF7747" w:rsidR="005F2E44" w:rsidRPr="00D51825" w:rsidRDefault="005F2E44" w:rsidP="001379C0">
      <w:pPr>
        <w:pStyle w:val="ListParagraph"/>
        <w:numPr>
          <w:ilvl w:val="1"/>
          <w:numId w:val="3"/>
        </w:numPr>
        <w:ind w:left="851" w:hanging="851"/>
        <w:rPr>
          <w:rFonts w:ascii="Arial" w:hAnsi="Arial" w:cs="Arial"/>
          <w:sz w:val="22"/>
          <w:szCs w:val="22"/>
        </w:rPr>
      </w:pPr>
      <w:r w:rsidRPr="00D51825">
        <w:rPr>
          <w:rFonts w:ascii="Arial" w:hAnsi="Arial" w:cs="Arial"/>
          <w:sz w:val="22"/>
          <w:szCs w:val="22"/>
        </w:rPr>
        <w:t>If patients have either funded their own IVF cycles privately, or received cycles funded by another NHS organisation, the maximum number of permitted cycles (above) will be reduced by this number.</w:t>
      </w:r>
    </w:p>
    <w:p w14:paraId="410C511A" w14:textId="77777777" w:rsidR="005F2E44" w:rsidRDefault="005F2E44" w:rsidP="005F2E44">
      <w:pPr>
        <w:rPr>
          <w:rFonts w:ascii="Arial" w:hAnsi="Arial" w:cs="Arial"/>
          <w:bCs/>
          <w:sz w:val="20"/>
          <w:szCs w:val="20"/>
        </w:rPr>
      </w:pPr>
    </w:p>
    <w:p w14:paraId="109029E4" w14:textId="2FA0A221" w:rsidR="005F2E44" w:rsidRPr="00B12705" w:rsidRDefault="005F2E44" w:rsidP="0048625E">
      <w:pPr>
        <w:pStyle w:val="Heading3"/>
        <w:rPr>
          <w:rFonts w:eastAsiaTheme="minorHAnsi"/>
          <w:b/>
          <w:bCs/>
          <w:lang w:eastAsia="en-US"/>
        </w:rPr>
      </w:pPr>
      <w:bookmarkStart w:id="16" w:name="_Toc199755664"/>
      <w:r w:rsidRPr="00B12705">
        <w:rPr>
          <w:rFonts w:eastAsiaTheme="minorHAnsi"/>
          <w:b/>
          <w:bCs/>
          <w:lang w:eastAsia="en-US"/>
        </w:rPr>
        <w:t>Ovarian reserve testing</w:t>
      </w:r>
      <w:bookmarkEnd w:id="16"/>
    </w:p>
    <w:p w14:paraId="75E800B3" w14:textId="77777777" w:rsidR="00F60A04" w:rsidRPr="00201BBC" w:rsidRDefault="00F60A04" w:rsidP="00F60A04">
      <w:pPr>
        <w:rPr>
          <w:rFonts w:ascii="Arial" w:hAnsi="Arial" w:cs="Arial"/>
          <w:sz w:val="22"/>
          <w:szCs w:val="22"/>
        </w:rPr>
      </w:pPr>
    </w:p>
    <w:p w14:paraId="58785897" w14:textId="77777777" w:rsidR="008F1418" w:rsidRPr="008F1418" w:rsidRDefault="008F1418" w:rsidP="008F1418">
      <w:pPr>
        <w:pStyle w:val="ListParagraph"/>
        <w:numPr>
          <w:ilvl w:val="1"/>
          <w:numId w:val="3"/>
        </w:numPr>
        <w:ind w:left="851" w:hanging="851"/>
        <w:rPr>
          <w:rFonts w:ascii="Arial" w:hAnsi="Arial" w:cs="Arial"/>
          <w:bCs/>
          <w:sz w:val="22"/>
          <w:szCs w:val="22"/>
        </w:rPr>
      </w:pPr>
      <w:r w:rsidRPr="008F1418">
        <w:rPr>
          <w:rFonts w:ascii="Arial" w:hAnsi="Arial" w:cs="Arial"/>
          <w:bCs/>
          <w:sz w:val="22"/>
          <w:szCs w:val="22"/>
        </w:rPr>
        <w:t xml:space="preserve">In </w:t>
      </w:r>
      <w:r w:rsidRPr="008F1418">
        <w:rPr>
          <w:rFonts w:ascii="Arial" w:hAnsi="Arial" w:cs="Arial"/>
          <w:sz w:val="22"/>
          <w:szCs w:val="22"/>
        </w:rPr>
        <w:t>order</w:t>
      </w:r>
      <w:r w:rsidRPr="008F1418">
        <w:rPr>
          <w:rFonts w:ascii="Arial" w:hAnsi="Arial" w:cs="Arial"/>
          <w:bCs/>
          <w:sz w:val="22"/>
          <w:szCs w:val="22"/>
        </w:rPr>
        <w:t xml:space="preserve"> to predict the likely ovarian response to gonadotrophin stimulation, the principal permitted test (see below)</w:t>
      </w:r>
      <w:r w:rsidRPr="008F1418">
        <w:rPr>
          <w:rFonts w:ascii="Arial" w:hAnsi="Arial" w:cs="Arial"/>
          <w:bCs/>
          <w:color w:val="FF0000"/>
          <w:sz w:val="22"/>
          <w:szCs w:val="22"/>
        </w:rPr>
        <w:t xml:space="preserve"> </w:t>
      </w:r>
      <w:r w:rsidRPr="008F1418">
        <w:rPr>
          <w:rFonts w:ascii="Arial" w:hAnsi="Arial" w:cs="Arial"/>
          <w:bCs/>
          <w:sz w:val="22"/>
          <w:szCs w:val="22"/>
        </w:rPr>
        <w:t>is the anti-Müllerian hormone (</w:t>
      </w:r>
      <w:r w:rsidRPr="008F1418">
        <w:rPr>
          <w:rFonts w:ascii="Arial" w:hAnsi="Arial" w:cs="Arial"/>
          <w:b/>
          <w:sz w:val="22"/>
          <w:szCs w:val="22"/>
        </w:rPr>
        <w:t>AMH</w:t>
      </w:r>
      <w:r w:rsidRPr="008F1418">
        <w:rPr>
          <w:rFonts w:ascii="Arial" w:hAnsi="Arial" w:cs="Arial"/>
          <w:bCs/>
          <w:sz w:val="22"/>
          <w:szCs w:val="22"/>
        </w:rPr>
        <w:t>). An AMH value of less than or equal to 5.4 pmol/l is a low response (Beckman–Coulter assay: poor response defined as less than 4 oocytes or cancellation), or greater than or equal to 25.0 pmol/l for a high response (Beckman–Coulter or DSL assays: defined high response as more than or equal to 15 oocytes to more than 21 oocytes).</w:t>
      </w:r>
    </w:p>
    <w:p w14:paraId="1BEB82E2" w14:textId="77777777" w:rsidR="008F1418" w:rsidRPr="008F1418" w:rsidRDefault="008F1418" w:rsidP="008F1418">
      <w:pPr>
        <w:pStyle w:val="ListParagraph"/>
        <w:ind w:left="709"/>
        <w:rPr>
          <w:rFonts w:ascii="Arial" w:hAnsi="Arial" w:cs="Arial"/>
          <w:bCs/>
          <w:sz w:val="22"/>
          <w:szCs w:val="22"/>
        </w:rPr>
      </w:pPr>
    </w:p>
    <w:p w14:paraId="3508CC67" w14:textId="77777777" w:rsidR="008F1418" w:rsidRPr="008F1418" w:rsidRDefault="008F1418" w:rsidP="008F1418">
      <w:pPr>
        <w:pStyle w:val="ListParagraph"/>
        <w:numPr>
          <w:ilvl w:val="1"/>
          <w:numId w:val="3"/>
        </w:numPr>
        <w:ind w:left="851" w:hanging="851"/>
        <w:rPr>
          <w:rFonts w:ascii="Arial" w:hAnsi="Arial" w:cs="Arial"/>
          <w:bCs/>
          <w:sz w:val="22"/>
          <w:szCs w:val="22"/>
        </w:rPr>
      </w:pPr>
      <w:r w:rsidRPr="008F1418">
        <w:rPr>
          <w:rFonts w:ascii="Arial" w:hAnsi="Arial" w:cs="Arial"/>
          <w:sz w:val="22"/>
          <w:szCs w:val="22"/>
        </w:rPr>
        <w:t>The</w:t>
      </w:r>
      <w:r w:rsidRPr="008F1418">
        <w:rPr>
          <w:rFonts w:ascii="Arial" w:hAnsi="Arial" w:cs="Arial"/>
          <w:bCs/>
          <w:sz w:val="22"/>
          <w:szCs w:val="22"/>
        </w:rPr>
        <w:t xml:space="preserve"> AMH may be supplemented by a total antral follicle count</w:t>
      </w:r>
      <w:r w:rsidRPr="008F1418">
        <w:rPr>
          <w:rFonts w:ascii="Arial" w:hAnsi="Arial" w:cs="Arial"/>
          <w:b/>
          <w:sz w:val="22"/>
          <w:szCs w:val="22"/>
        </w:rPr>
        <w:t xml:space="preserve"> (AFC)</w:t>
      </w:r>
      <w:r w:rsidRPr="008F1418">
        <w:rPr>
          <w:sz w:val="22"/>
          <w:szCs w:val="22"/>
        </w:rPr>
        <w:t xml:space="preserve"> </w:t>
      </w:r>
      <w:r w:rsidRPr="008F1418">
        <w:rPr>
          <w:rFonts w:ascii="Arial" w:hAnsi="Arial" w:cs="Arial"/>
          <w:bCs/>
          <w:sz w:val="22"/>
          <w:szCs w:val="22"/>
        </w:rPr>
        <w:t xml:space="preserve">(see below). An AFC of less than or equal to 4 is a low response (follicles of less than or equal to 5 mm measured by transvaginal ultrasound on day 3 of cycle: low response was less than 4 oocytes) , and greater than 16 for a high response (follicles of 2 to 10 mm measured by transvaginal ultrasound on day 3 of cycle: high response was more than or equal to 15 oocytes or more than or equal to 20 oocytes). </w:t>
      </w:r>
    </w:p>
    <w:p w14:paraId="2D965D04" w14:textId="77777777" w:rsidR="008F1418" w:rsidRDefault="008F1418" w:rsidP="008F1418">
      <w:pPr>
        <w:pStyle w:val="ListParagraph"/>
        <w:rPr>
          <w:rFonts w:ascii="Arial" w:hAnsi="Arial" w:cs="Arial"/>
          <w:bCs/>
          <w:sz w:val="22"/>
          <w:szCs w:val="22"/>
        </w:rPr>
      </w:pPr>
    </w:p>
    <w:p w14:paraId="3D510009" w14:textId="77777777" w:rsidR="00D55C1C" w:rsidRDefault="00D55C1C" w:rsidP="008F1418">
      <w:pPr>
        <w:pStyle w:val="ListParagraph"/>
        <w:rPr>
          <w:rFonts w:ascii="Arial" w:hAnsi="Arial" w:cs="Arial"/>
          <w:bCs/>
          <w:sz w:val="22"/>
          <w:szCs w:val="22"/>
        </w:rPr>
      </w:pPr>
    </w:p>
    <w:p w14:paraId="7C9568A4" w14:textId="77777777" w:rsidR="00D55C1C" w:rsidRPr="008F1418" w:rsidRDefault="00D55C1C" w:rsidP="008F1418">
      <w:pPr>
        <w:pStyle w:val="ListParagraph"/>
        <w:rPr>
          <w:rFonts w:ascii="Arial" w:hAnsi="Arial" w:cs="Arial"/>
          <w:bCs/>
          <w:sz w:val="22"/>
          <w:szCs w:val="22"/>
        </w:rPr>
      </w:pPr>
    </w:p>
    <w:p w14:paraId="7C7B34DF" w14:textId="77777777" w:rsidR="008F1418" w:rsidRPr="008F1418" w:rsidRDefault="008F1418" w:rsidP="008F1418">
      <w:pPr>
        <w:pStyle w:val="ListParagraph"/>
        <w:numPr>
          <w:ilvl w:val="1"/>
          <w:numId w:val="3"/>
        </w:numPr>
        <w:ind w:left="851" w:hanging="851"/>
        <w:rPr>
          <w:rFonts w:ascii="Arial" w:hAnsi="Arial" w:cs="Arial"/>
          <w:bCs/>
          <w:sz w:val="22"/>
          <w:szCs w:val="22"/>
        </w:rPr>
      </w:pPr>
      <w:r w:rsidRPr="008F1418">
        <w:rPr>
          <w:rFonts w:ascii="Arial" w:hAnsi="Arial" w:cs="Arial"/>
          <w:bCs/>
          <w:sz w:val="22"/>
          <w:szCs w:val="22"/>
        </w:rPr>
        <w:t xml:space="preserve">The </w:t>
      </w:r>
      <w:r w:rsidRPr="008F1418">
        <w:rPr>
          <w:rFonts w:ascii="Arial" w:hAnsi="Arial" w:cs="Arial"/>
          <w:sz w:val="22"/>
          <w:szCs w:val="22"/>
        </w:rPr>
        <w:t>Follicle</w:t>
      </w:r>
      <w:r w:rsidRPr="008F1418">
        <w:rPr>
          <w:rFonts w:ascii="Arial" w:hAnsi="Arial" w:cs="Arial"/>
          <w:bCs/>
          <w:sz w:val="22"/>
          <w:szCs w:val="22"/>
        </w:rPr>
        <w:t xml:space="preserve"> Stimulation Hormone (FSH) test is no longer recommended and is not routinely commissioned for this indication. </w:t>
      </w:r>
    </w:p>
    <w:p w14:paraId="1DA847B9" w14:textId="77777777" w:rsidR="008F1418" w:rsidRPr="008F1418" w:rsidRDefault="008F1418" w:rsidP="008F1418">
      <w:pPr>
        <w:ind w:left="426"/>
        <w:rPr>
          <w:rFonts w:ascii="Arial" w:hAnsi="Arial" w:cs="Arial"/>
          <w:bCs/>
          <w:sz w:val="22"/>
          <w:szCs w:val="22"/>
        </w:rPr>
      </w:pPr>
    </w:p>
    <w:p w14:paraId="5BD44FA9" w14:textId="544AAB46" w:rsidR="008F1418" w:rsidRPr="008F1418" w:rsidRDefault="008F1418" w:rsidP="008F1418">
      <w:pPr>
        <w:pStyle w:val="ListParagraph"/>
        <w:numPr>
          <w:ilvl w:val="1"/>
          <w:numId w:val="3"/>
        </w:numPr>
        <w:ind w:left="851" w:hanging="851"/>
        <w:rPr>
          <w:rFonts w:ascii="Arial" w:hAnsi="Arial" w:cs="Arial"/>
          <w:bCs/>
          <w:sz w:val="22"/>
          <w:szCs w:val="22"/>
        </w:rPr>
      </w:pPr>
      <w:r w:rsidRPr="008F1418">
        <w:rPr>
          <w:rFonts w:ascii="Arial" w:hAnsi="Arial" w:cs="Arial"/>
          <w:bCs/>
          <w:sz w:val="22"/>
          <w:szCs w:val="22"/>
        </w:rPr>
        <w:t xml:space="preserve">In the majority of cases, AMH alone will be used to assess response to ovarian stimulation. </w:t>
      </w:r>
      <w:r w:rsidR="00234424">
        <w:rPr>
          <w:rFonts w:ascii="Arial" w:hAnsi="Arial" w:cs="Arial"/>
          <w:bCs/>
          <w:sz w:val="22"/>
          <w:szCs w:val="22"/>
        </w:rPr>
        <w:t xml:space="preserve"> </w:t>
      </w:r>
      <w:r w:rsidR="007A71B7" w:rsidRPr="008F1418">
        <w:rPr>
          <w:rFonts w:ascii="Arial" w:hAnsi="Arial" w:cs="Arial"/>
          <w:bCs/>
          <w:sz w:val="22"/>
          <w:szCs w:val="22"/>
        </w:rPr>
        <w:t>However,</w:t>
      </w:r>
      <w:r w:rsidRPr="008F1418">
        <w:rPr>
          <w:rFonts w:ascii="Arial" w:hAnsi="Arial" w:cs="Arial"/>
          <w:bCs/>
          <w:sz w:val="22"/>
          <w:szCs w:val="22"/>
        </w:rPr>
        <w:t xml:space="preserve"> if the value of AMH is &lt;5.4pmol/l, an AFC can be performed in the early follicular phase of the menstrual cycle.</w:t>
      </w:r>
      <w:r w:rsidR="00234424">
        <w:rPr>
          <w:rFonts w:ascii="Arial" w:hAnsi="Arial" w:cs="Arial"/>
          <w:bCs/>
          <w:sz w:val="22"/>
          <w:szCs w:val="22"/>
        </w:rPr>
        <w:t xml:space="preserve"> </w:t>
      </w:r>
      <w:r w:rsidRPr="008F1418">
        <w:rPr>
          <w:rFonts w:ascii="Arial" w:hAnsi="Arial" w:cs="Arial"/>
          <w:bCs/>
          <w:sz w:val="22"/>
          <w:szCs w:val="22"/>
        </w:rPr>
        <w:t xml:space="preserve"> If the value of AFC is &lt;4 then see </w:t>
      </w:r>
      <w:r w:rsidRPr="000232A7">
        <w:rPr>
          <w:rFonts w:ascii="Arial" w:hAnsi="Arial" w:cs="Arial"/>
          <w:bCs/>
          <w:sz w:val="22"/>
          <w:szCs w:val="22"/>
          <w:highlight w:val="yellow"/>
        </w:rPr>
        <w:t>section 1</w:t>
      </w:r>
      <w:r w:rsidR="00D352CB" w:rsidRPr="00D352CB">
        <w:rPr>
          <w:rFonts w:ascii="Arial" w:hAnsi="Arial" w:cs="Arial"/>
          <w:bCs/>
          <w:sz w:val="22"/>
          <w:szCs w:val="22"/>
          <w:highlight w:val="yellow"/>
        </w:rPr>
        <w:t>6</w:t>
      </w:r>
      <w:r w:rsidRPr="008F1418">
        <w:rPr>
          <w:rFonts w:ascii="Arial" w:hAnsi="Arial" w:cs="Arial"/>
          <w:bCs/>
          <w:sz w:val="22"/>
          <w:szCs w:val="22"/>
        </w:rPr>
        <w:t xml:space="preserve"> – oocyte donation.</w:t>
      </w:r>
    </w:p>
    <w:p w14:paraId="3937A66F" w14:textId="77777777" w:rsidR="005F2E44" w:rsidRPr="00201BBC" w:rsidRDefault="005F2E44" w:rsidP="00F60A04">
      <w:pPr>
        <w:rPr>
          <w:rFonts w:ascii="Arial" w:hAnsi="Arial" w:cs="Arial"/>
          <w:sz w:val="22"/>
          <w:szCs w:val="22"/>
        </w:rPr>
      </w:pPr>
    </w:p>
    <w:p w14:paraId="26F8B8DB" w14:textId="4DF68389" w:rsidR="005F2E44" w:rsidRPr="00B12705" w:rsidRDefault="005F2E44" w:rsidP="00F60A04">
      <w:pPr>
        <w:pStyle w:val="Heading3"/>
        <w:rPr>
          <w:rFonts w:eastAsiaTheme="minorHAnsi"/>
          <w:b/>
          <w:bCs/>
          <w:lang w:eastAsia="en-US"/>
        </w:rPr>
      </w:pPr>
      <w:bookmarkStart w:id="17" w:name="_Toc199755665"/>
      <w:r w:rsidRPr="00B12705">
        <w:rPr>
          <w:rFonts w:eastAsiaTheme="minorHAnsi"/>
          <w:b/>
          <w:bCs/>
          <w:lang w:eastAsia="en-US"/>
        </w:rPr>
        <w:t>Number of Transferred Embryos</w:t>
      </w:r>
      <w:bookmarkEnd w:id="17"/>
      <w:r w:rsidRPr="00B12705">
        <w:rPr>
          <w:rFonts w:eastAsiaTheme="minorHAnsi"/>
          <w:b/>
          <w:bCs/>
          <w:lang w:eastAsia="en-US"/>
        </w:rPr>
        <w:t xml:space="preserve"> </w:t>
      </w:r>
    </w:p>
    <w:p w14:paraId="188E6D08" w14:textId="77777777" w:rsidR="000A5B69" w:rsidRPr="00B55331" w:rsidRDefault="000A5B69" w:rsidP="00B55331">
      <w:pPr>
        <w:rPr>
          <w:rFonts w:ascii="Arial" w:hAnsi="Arial" w:cs="Arial"/>
          <w:sz w:val="22"/>
          <w:szCs w:val="22"/>
        </w:rPr>
      </w:pPr>
    </w:p>
    <w:p w14:paraId="23D1D168" w14:textId="721C18D9" w:rsidR="00053ECB" w:rsidRPr="00A92042" w:rsidRDefault="00053ECB" w:rsidP="00053ECB">
      <w:pPr>
        <w:pStyle w:val="ListParagraph"/>
        <w:numPr>
          <w:ilvl w:val="1"/>
          <w:numId w:val="3"/>
        </w:numPr>
        <w:ind w:left="851" w:hanging="851"/>
        <w:rPr>
          <w:rFonts w:ascii="Arial" w:hAnsi="Arial" w:cs="Arial"/>
          <w:bCs/>
          <w:sz w:val="22"/>
          <w:szCs w:val="22"/>
        </w:rPr>
      </w:pPr>
      <w:r w:rsidRPr="00A92042">
        <w:rPr>
          <w:rFonts w:ascii="Arial" w:hAnsi="Arial" w:cs="Arial"/>
          <w:bCs/>
          <w:sz w:val="22"/>
          <w:szCs w:val="22"/>
        </w:rPr>
        <w:t>The transfer of any resultant fresh and/or frozen embryos must be transferred in line with NICE CG156 and the Human Fertilisation and Embryology Authority (HFEA). The ICB will only contract with providers who make a public commitment to comply with the HFEA single embryo transfer policy and can demonstrate significant progress towards achieving the annual target set by the HFEA with performance that is not significantly above the target.</w:t>
      </w:r>
    </w:p>
    <w:p w14:paraId="435B43AB" w14:textId="77777777" w:rsidR="00053ECB" w:rsidRPr="00A92042" w:rsidRDefault="00053ECB" w:rsidP="00053ECB">
      <w:pPr>
        <w:rPr>
          <w:rFonts w:ascii="Arial" w:hAnsi="Arial" w:cs="Arial"/>
          <w:bCs/>
          <w:sz w:val="22"/>
          <w:szCs w:val="22"/>
        </w:rPr>
      </w:pPr>
    </w:p>
    <w:p w14:paraId="1F3FDC80" w14:textId="38D51E34" w:rsidR="00053ECB" w:rsidRPr="00A92042" w:rsidRDefault="00053ECB" w:rsidP="00053ECB">
      <w:pPr>
        <w:pStyle w:val="ListParagraph"/>
        <w:numPr>
          <w:ilvl w:val="1"/>
          <w:numId w:val="3"/>
        </w:numPr>
        <w:ind w:left="851" w:hanging="851"/>
        <w:rPr>
          <w:rFonts w:ascii="Arial" w:hAnsi="Arial" w:cs="Arial"/>
          <w:bCs/>
          <w:sz w:val="22"/>
          <w:szCs w:val="22"/>
        </w:rPr>
      </w:pPr>
      <w:r w:rsidRPr="00A92042">
        <w:rPr>
          <w:rFonts w:ascii="Arial" w:hAnsi="Arial" w:cs="Arial"/>
          <w:bCs/>
          <w:sz w:val="22"/>
          <w:szCs w:val="22"/>
        </w:rPr>
        <w:t>In keeping with the Human Fertilisation and Embryology Authority’s (HFEA) multiple birth reduction strategy individuals/couples will be counselled about the risks associated with multiple pregnancies and advised that they will receive a single embryo transfer (whether fresh or frozen) unless there is a clear clinical justification for not doing so (e.g. a single top-quality embryo is not available). In any event, a maximum of 2 embryos will be transferred per procedure (either fresh or frozen).</w:t>
      </w:r>
    </w:p>
    <w:p w14:paraId="6FFAEB1F" w14:textId="77777777" w:rsidR="00053ECB" w:rsidRPr="00A92042" w:rsidRDefault="00053ECB" w:rsidP="00053ECB">
      <w:pPr>
        <w:rPr>
          <w:rFonts w:ascii="Arial" w:hAnsi="Arial" w:cs="Arial"/>
          <w:bCs/>
          <w:sz w:val="22"/>
          <w:szCs w:val="22"/>
        </w:rPr>
      </w:pPr>
    </w:p>
    <w:p w14:paraId="081AEF30" w14:textId="01F9F329" w:rsidR="00053ECB" w:rsidRPr="00A92042" w:rsidRDefault="00053ECB" w:rsidP="00053ECB">
      <w:pPr>
        <w:pStyle w:val="ListParagraph"/>
        <w:numPr>
          <w:ilvl w:val="1"/>
          <w:numId w:val="3"/>
        </w:numPr>
        <w:ind w:left="851" w:hanging="851"/>
        <w:rPr>
          <w:rFonts w:ascii="Arial" w:hAnsi="Arial" w:cs="Arial"/>
          <w:bCs/>
          <w:sz w:val="22"/>
          <w:szCs w:val="22"/>
        </w:rPr>
      </w:pPr>
      <w:r w:rsidRPr="00A92042">
        <w:rPr>
          <w:rFonts w:ascii="Arial" w:hAnsi="Arial" w:cs="Arial"/>
          <w:bCs/>
          <w:sz w:val="22"/>
          <w:szCs w:val="22"/>
        </w:rPr>
        <w:t>Individuals/couples with a good prognosis should be advised that a single embryo transfer, involving fresh, followed by frozen single embryo transfers, can virtually abolish the risk of a multiple pregnancy while maintaining a live birth rate which is the same as that achieved by transferring 2 fresh or frozen embryos.</w:t>
      </w:r>
    </w:p>
    <w:p w14:paraId="0C56BFB6" w14:textId="77777777" w:rsidR="00053ECB" w:rsidRPr="00A92042" w:rsidRDefault="00053ECB" w:rsidP="00053ECB">
      <w:pPr>
        <w:rPr>
          <w:rFonts w:ascii="Arial" w:hAnsi="Arial" w:cs="Arial"/>
          <w:bCs/>
          <w:sz w:val="22"/>
          <w:szCs w:val="22"/>
        </w:rPr>
      </w:pPr>
    </w:p>
    <w:p w14:paraId="6696AF9D" w14:textId="4BEDD335" w:rsidR="005F2E44" w:rsidRPr="00993A72" w:rsidRDefault="00053ECB" w:rsidP="00993A72">
      <w:pPr>
        <w:pStyle w:val="ListParagraph"/>
        <w:numPr>
          <w:ilvl w:val="1"/>
          <w:numId w:val="3"/>
        </w:numPr>
        <w:ind w:left="851" w:hanging="851"/>
        <w:rPr>
          <w:rFonts w:ascii="Arial" w:hAnsi="Arial" w:cs="Arial"/>
          <w:sz w:val="22"/>
          <w:szCs w:val="22"/>
        </w:rPr>
      </w:pPr>
      <w:r w:rsidRPr="00A92042">
        <w:rPr>
          <w:rFonts w:ascii="Arial" w:hAnsi="Arial" w:cs="Arial"/>
          <w:sz w:val="22"/>
          <w:szCs w:val="22"/>
        </w:rPr>
        <w:t xml:space="preserve">Further </w:t>
      </w:r>
      <w:r w:rsidRPr="00A92042">
        <w:rPr>
          <w:rFonts w:ascii="Arial" w:hAnsi="Arial" w:cs="Arial"/>
          <w:bCs/>
          <w:sz w:val="22"/>
          <w:szCs w:val="22"/>
        </w:rPr>
        <w:t>information</w:t>
      </w:r>
      <w:r w:rsidRPr="00A92042">
        <w:rPr>
          <w:rFonts w:ascii="Arial" w:hAnsi="Arial" w:cs="Arial"/>
          <w:sz w:val="22"/>
          <w:szCs w:val="22"/>
        </w:rPr>
        <w:t xml:space="preserve"> is available at </w:t>
      </w:r>
      <w:hyperlink r:id="rId23" w:history="1">
        <w:r w:rsidRPr="00A92042">
          <w:rPr>
            <w:rStyle w:val="Hyperlink"/>
            <w:rFonts w:ascii="Arial" w:hAnsi="Arial" w:cs="Arial"/>
            <w:sz w:val="22"/>
            <w:szCs w:val="22"/>
          </w:rPr>
          <w:t>https://www.hfea.gov.uk/about-us/our-campaign-to-reduce-multiple-births/</w:t>
        </w:r>
      </w:hyperlink>
      <w:r w:rsidR="00435163">
        <w:rPr>
          <w:rFonts w:ascii="Arial" w:hAnsi="Arial" w:cs="Arial"/>
          <w:sz w:val="22"/>
          <w:szCs w:val="22"/>
        </w:rPr>
        <w:t>.</w:t>
      </w:r>
    </w:p>
    <w:p w14:paraId="3DDBFD8A" w14:textId="77777777" w:rsidR="005F2E44" w:rsidRDefault="005F2E44" w:rsidP="005F2E44">
      <w:pPr>
        <w:rPr>
          <w:rFonts w:ascii="Arial" w:hAnsi="Arial" w:cs="Arial"/>
          <w:sz w:val="20"/>
          <w:szCs w:val="20"/>
        </w:rPr>
      </w:pPr>
    </w:p>
    <w:p w14:paraId="6EA51955" w14:textId="77777777" w:rsidR="00285A82" w:rsidRPr="00B12705" w:rsidRDefault="00285A82" w:rsidP="000C46ED">
      <w:pPr>
        <w:pStyle w:val="Heading2"/>
        <w:numPr>
          <w:ilvl w:val="0"/>
          <w:numId w:val="3"/>
        </w:numPr>
        <w:ind w:left="851" w:hanging="851"/>
        <w:rPr>
          <w:rFonts w:eastAsiaTheme="minorHAnsi" w:cs="Arial"/>
          <w:b/>
          <w:bCs/>
          <w:sz w:val="36"/>
          <w:szCs w:val="36"/>
          <w:lang w:eastAsia="en-US"/>
        </w:rPr>
      </w:pPr>
      <w:bookmarkStart w:id="18" w:name="_Toc199755666"/>
      <w:r w:rsidRPr="00B12705">
        <w:rPr>
          <w:rFonts w:eastAsiaTheme="minorHAnsi" w:cs="Arial"/>
          <w:b/>
          <w:bCs/>
          <w:sz w:val="36"/>
          <w:szCs w:val="36"/>
          <w:lang w:eastAsia="en-US"/>
        </w:rPr>
        <w:t>Surrogacy</w:t>
      </w:r>
      <w:bookmarkEnd w:id="18"/>
      <w:r w:rsidRPr="00B12705">
        <w:rPr>
          <w:rFonts w:eastAsiaTheme="minorHAnsi" w:cs="Arial"/>
          <w:b/>
          <w:bCs/>
          <w:sz w:val="36"/>
          <w:szCs w:val="36"/>
          <w:lang w:eastAsia="en-US"/>
        </w:rPr>
        <w:t xml:space="preserve"> </w:t>
      </w:r>
    </w:p>
    <w:p w14:paraId="36142C8C" w14:textId="77777777" w:rsidR="000D4F74" w:rsidRPr="00EA7D06" w:rsidRDefault="000D4F74" w:rsidP="00EA7D06">
      <w:pPr>
        <w:rPr>
          <w:rFonts w:ascii="Arial" w:hAnsi="Arial" w:cs="Arial"/>
          <w:sz w:val="22"/>
          <w:szCs w:val="22"/>
        </w:rPr>
      </w:pPr>
    </w:p>
    <w:p w14:paraId="2B8B0F9F" w14:textId="600C62F2" w:rsidR="00285A82" w:rsidRPr="00EA7D06" w:rsidRDefault="00285A82" w:rsidP="001379C0">
      <w:pPr>
        <w:pStyle w:val="ListParagraph"/>
        <w:numPr>
          <w:ilvl w:val="1"/>
          <w:numId w:val="3"/>
        </w:numPr>
        <w:ind w:left="851" w:hanging="851"/>
        <w:rPr>
          <w:rFonts w:ascii="Arial" w:hAnsi="Arial" w:cs="Arial"/>
          <w:sz w:val="22"/>
          <w:szCs w:val="22"/>
        </w:rPr>
      </w:pPr>
      <w:r w:rsidRPr="00EA7D06">
        <w:rPr>
          <w:rFonts w:ascii="Arial" w:hAnsi="Arial" w:cs="Arial"/>
          <w:sz w:val="22"/>
          <w:szCs w:val="22"/>
        </w:rPr>
        <w:t xml:space="preserve">The ICB will not commission any form of fertility treatment </w:t>
      </w:r>
      <w:r w:rsidR="007A5B97">
        <w:rPr>
          <w:rFonts w:ascii="Arial" w:hAnsi="Arial" w:cs="Arial"/>
          <w:sz w:val="22"/>
          <w:szCs w:val="22"/>
        </w:rPr>
        <w:t>for</w:t>
      </w:r>
      <w:r w:rsidRPr="00EA7D06">
        <w:rPr>
          <w:rFonts w:ascii="Arial" w:hAnsi="Arial" w:cs="Arial"/>
          <w:sz w:val="22"/>
          <w:szCs w:val="22"/>
        </w:rPr>
        <w:t xml:space="preserve"> those in surrogacy arrangements (i.e. the use of a third party to bear a child for another couple). This is due to the numerous legal and ethical issues involved. </w:t>
      </w:r>
    </w:p>
    <w:p w14:paraId="10E31524" w14:textId="77777777" w:rsidR="00285A82" w:rsidRPr="00EA7D06" w:rsidRDefault="00285A82" w:rsidP="00EA7D06">
      <w:pPr>
        <w:rPr>
          <w:rFonts w:ascii="Arial" w:hAnsi="Arial" w:cs="Arial"/>
          <w:sz w:val="22"/>
          <w:szCs w:val="22"/>
        </w:rPr>
      </w:pPr>
    </w:p>
    <w:p w14:paraId="72AEB967" w14:textId="77777777" w:rsidR="00285A82" w:rsidRPr="00B12705" w:rsidRDefault="00285A82" w:rsidP="000C46ED">
      <w:pPr>
        <w:pStyle w:val="Heading2"/>
        <w:numPr>
          <w:ilvl w:val="0"/>
          <w:numId w:val="3"/>
        </w:numPr>
        <w:ind w:left="851" w:hanging="851"/>
        <w:rPr>
          <w:rFonts w:eastAsiaTheme="minorHAnsi" w:cs="Arial"/>
          <w:b/>
          <w:bCs/>
          <w:sz w:val="36"/>
          <w:szCs w:val="36"/>
          <w:lang w:eastAsia="en-US"/>
        </w:rPr>
      </w:pPr>
      <w:bookmarkStart w:id="19" w:name="_Toc199755667"/>
      <w:r w:rsidRPr="00B12705">
        <w:rPr>
          <w:rFonts w:eastAsiaTheme="minorHAnsi" w:cs="Arial"/>
          <w:b/>
          <w:bCs/>
          <w:sz w:val="36"/>
          <w:szCs w:val="36"/>
          <w:lang w:eastAsia="en-US"/>
        </w:rPr>
        <w:t>Reversal of Sterilisation</w:t>
      </w:r>
      <w:bookmarkEnd w:id="19"/>
    </w:p>
    <w:p w14:paraId="7C040687" w14:textId="77777777" w:rsidR="000D4F74" w:rsidRPr="00EA7D06" w:rsidRDefault="000D4F74" w:rsidP="00EA7D06">
      <w:pPr>
        <w:rPr>
          <w:rFonts w:ascii="Arial" w:hAnsi="Arial" w:cs="Arial"/>
          <w:sz w:val="22"/>
          <w:szCs w:val="22"/>
        </w:rPr>
      </w:pPr>
    </w:p>
    <w:p w14:paraId="340B8E84" w14:textId="30C02F90" w:rsidR="00285A82" w:rsidRPr="00EA7D06" w:rsidRDefault="00285A82" w:rsidP="001379C0">
      <w:pPr>
        <w:pStyle w:val="ListParagraph"/>
        <w:numPr>
          <w:ilvl w:val="1"/>
          <w:numId w:val="3"/>
        </w:numPr>
        <w:ind w:left="851" w:hanging="851"/>
        <w:rPr>
          <w:rFonts w:ascii="Arial" w:hAnsi="Arial" w:cs="Arial"/>
          <w:sz w:val="22"/>
          <w:szCs w:val="22"/>
        </w:rPr>
      </w:pPr>
      <w:r w:rsidRPr="00EA7D06">
        <w:rPr>
          <w:rFonts w:ascii="Arial" w:hAnsi="Arial" w:cs="Arial"/>
          <w:sz w:val="22"/>
          <w:szCs w:val="22"/>
        </w:rPr>
        <w:t>Subfertility treatment is not routinely funded where this is the result of a sterilisation procedure in either partner.</w:t>
      </w:r>
    </w:p>
    <w:p w14:paraId="3A673F96" w14:textId="77777777" w:rsidR="00285A82" w:rsidRPr="00EA7D06" w:rsidRDefault="00285A82" w:rsidP="00EA7D06">
      <w:pPr>
        <w:rPr>
          <w:rFonts w:ascii="Arial" w:hAnsi="Arial" w:cs="Arial"/>
          <w:sz w:val="22"/>
          <w:szCs w:val="22"/>
        </w:rPr>
      </w:pPr>
    </w:p>
    <w:p w14:paraId="25FF2AF8" w14:textId="77777777" w:rsidR="00285A82" w:rsidRPr="00EA7D06" w:rsidRDefault="00285A82" w:rsidP="001379C0">
      <w:pPr>
        <w:pStyle w:val="ListParagraph"/>
        <w:numPr>
          <w:ilvl w:val="1"/>
          <w:numId w:val="3"/>
        </w:numPr>
        <w:ind w:left="851" w:hanging="851"/>
        <w:rPr>
          <w:rFonts w:ascii="Arial" w:hAnsi="Arial" w:cs="Arial"/>
          <w:sz w:val="22"/>
          <w:szCs w:val="22"/>
        </w:rPr>
      </w:pPr>
      <w:r w:rsidRPr="00EA7D06">
        <w:rPr>
          <w:rFonts w:ascii="Arial" w:hAnsi="Arial" w:cs="Arial"/>
          <w:sz w:val="22"/>
          <w:szCs w:val="22"/>
        </w:rPr>
        <w:t>Where subfertility remains after a reversal of sterilisation, treatment is not routinely funded.</w:t>
      </w:r>
    </w:p>
    <w:p w14:paraId="49203EE4" w14:textId="77777777" w:rsidR="00285A82" w:rsidRPr="00EA7D06" w:rsidRDefault="00285A82" w:rsidP="00EA7D06">
      <w:pPr>
        <w:rPr>
          <w:rFonts w:ascii="Arial" w:hAnsi="Arial" w:cs="Arial"/>
          <w:sz w:val="22"/>
          <w:szCs w:val="22"/>
        </w:rPr>
      </w:pPr>
    </w:p>
    <w:p w14:paraId="75197FA6" w14:textId="77777777" w:rsidR="00285A82" w:rsidRPr="00EA7D06" w:rsidRDefault="00285A82" w:rsidP="001379C0">
      <w:pPr>
        <w:pStyle w:val="ListParagraph"/>
        <w:numPr>
          <w:ilvl w:val="1"/>
          <w:numId w:val="3"/>
        </w:numPr>
        <w:ind w:left="851" w:hanging="851"/>
        <w:rPr>
          <w:rFonts w:ascii="Arial" w:hAnsi="Arial" w:cs="Arial"/>
          <w:sz w:val="22"/>
          <w:szCs w:val="22"/>
        </w:rPr>
      </w:pPr>
      <w:r w:rsidRPr="00EA7D06">
        <w:rPr>
          <w:rFonts w:ascii="Arial" w:hAnsi="Arial" w:cs="Arial"/>
          <w:sz w:val="22"/>
          <w:szCs w:val="22"/>
        </w:rPr>
        <w:t>The surgical reversal of female sterilisation is not routinely funded.</w:t>
      </w:r>
    </w:p>
    <w:p w14:paraId="1F4D5E0B" w14:textId="77777777" w:rsidR="008139C1" w:rsidRDefault="008139C1" w:rsidP="00EA7D06">
      <w:pPr>
        <w:rPr>
          <w:rFonts w:ascii="Arial" w:hAnsi="Arial" w:cs="Arial"/>
          <w:sz w:val="22"/>
          <w:szCs w:val="22"/>
        </w:rPr>
      </w:pPr>
    </w:p>
    <w:p w14:paraId="091BD92E" w14:textId="77777777" w:rsidR="00B922DD" w:rsidRDefault="00B922DD" w:rsidP="00EA7D06">
      <w:pPr>
        <w:rPr>
          <w:rFonts w:ascii="Arial" w:hAnsi="Arial" w:cs="Arial"/>
          <w:sz w:val="22"/>
          <w:szCs w:val="22"/>
        </w:rPr>
      </w:pPr>
    </w:p>
    <w:p w14:paraId="3557696E" w14:textId="77777777" w:rsidR="00B922DD" w:rsidRDefault="00B922DD" w:rsidP="00EA7D06">
      <w:pPr>
        <w:rPr>
          <w:rFonts w:ascii="Arial" w:hAnsi="Arial" w:cs="Arial"/>
          <w:sz w:val="22"/>
          <w:szCs w:val="22"/>
        </w:rPr>
      </w:pPr>
    </w:p>
    <w:p w14:paraId="11FB43CE" w14:textId="77777777" w:rsidR="00B922DD" w:rsidRDefault="00B922DD" w:rsidP="00EA7D06">
      <w:pPr>
        <w:rPr>
          <w:rFonts w:ascii="Arial" w:hAnsi="Arial" w:cs="Arial"/>
          <w:sz w:val="22"/>
          <w:szCs w:val="22"/>
        </w:rPr>
      </w:pPr>
    </w:p>
    <w:p w14:paraId="517CFA72" w14:textId="77777777" w:rsidR="00B922DD" w:rsidRDefault="00B922DD" w:rsidP="00EA7D06">
      <w:pPr>
        <w:rPr>
          <w:rFonts w:ascii="Arial" w:hAnsi="Arial" w:cs="Arial"/>
          <w:sz w:val="22"/>
          <w:szCs w:val="22"/>
        </w:rPr>
      </w:pPr>
    </w:p>
    <w:p w14:paraId="7917F40A" w14:textId="77777777" w:rsidR="00421000" w:rsidRDefault="00421000" w:rsidP="00EA7D06">
      <w:pPr>
        <w:rPr>
          <w:rFonts w:ascii="Arial" w:hAnsi="Arial" w:cs="Arial"/>
          <w:sz w:val="22"/>
          <w:szCs w:val="22"/>
        </w:rPr>
      </w:pPr>
    </w:p>
    <w:p w14:paraId="626EFAD2" w14:textId="77777777" w:rsidR="00421000" w:rsidRDefault="00421000" w:rsidP="00EA7D06">
      <w:pPr>
        <w:rPr>
          <w:rFonts w:ascii="Arial" w:hAnsi="Arial" w:cs="Arial"/>
          <w:sz w:val="22"/>
          <w:szCs w:val="22"/>
        </w:rPr>
      </w:pPr>
    </w:p>
    <w:p w14:paraId="534A0AA9" w14:textId="77777777" w:rsidR="00B922DD" w:rsidRPr="00EA7D06" w:rsidRDefault="00B922DD" w:rsidP="00EA7D06">
      <w:pPr>
        <w:rPr>
          <w:rFonts w:ascii="Arial" w:hAnsi="Arial" w:cs="Arial"/>
          <w:sz w:val="22"/>
          <w:szCs w:val="22"/>
        </w:rPr>
      </w:pPr>
    </w:p>
    <w:p w14:paraId="3B9A795D" w14:textId="039586ED" w:rsidR="005F2E44" w:rsidRPr="00B12705" w:rsidRDefault="005F2E44" w:rsidP="000C46ED">
      <w:pPr>
        <w:pStyle w:val="Heading2"/>
        <w:numPr>
          <w:ilvl w:val="0"/>
          <w:numId w:val="3"/>
        </w:numPr>
        <w:ind w:left="851" w:hanging="851"/>
        <w:rPr>
          <w:rFonts w:eastAsiaTheme="minorHAnsi" w:cs="Arial"/>
          <w:b/>
          <w:bCs/>
          <w:sz w:val="36"/>
          <w:szCs w:val="36"/>
          <w:lang w:eastAsia="en-US"/>
        </w:rPr>
      </w:pPr>
      <w:bookmarkStart w:id="20" w:name="_Toc199755668"/>
      <w:r w:rsidRPr="00B12705">
        <w:rPr>
          <w:rFonts w:eastAsiaTheme="minorHAnsi" w:cs="Arial"/>
          <w:b/>
          <w:bCs/>
          <w:sz w:val="36"/>
          <w:szCs w:val="36"/>
          <w:lang w:eastAsia="en-US"/>
        </w:rPr>
        <w:t>Surgical retrieval of sperm</w:t>
      </w:r>
      <w:bookmarkEnd w:id="20"/>
      <w:r w:rsidRPr="00B12705">
        <w:rPr>
          <w:rFonts w:eastAsiaTheme="minorHAnsi" w:cs="Arial"/>
          <w:b/>
          <w:bCs/>
          <w:sz w:val="36"/>
          <w:szCs w:val="36"/>
          <w:lang w:eastAsia="en-US"/>
        </w:rPr>
        <w:t xml:space="preserve"> </w:t>
      </w:r>
    </w:p>
    <w:p w14:paraId="50C379FB" w14:textId="77777777" w:rsidR="000D4F74" w:rsidRPr="00EA7D06" w:rsidRDefault="000D4F74" w:rsidP="00EA7D06">
      <w:pPr>
        <w:rPr>
          <w:rFonts w:ascii="Arial" w:hAnsi="Arial" w:cs="Arial"/>
          <w:sz w:val="22"/>
          <w:szCs w:val="22"/>
        </w:rPr>
      </w:pPr>
    </w:p>
    <w:p w14:paraId="5990E13F" w14:textId="7CAB05B6" w:rsidR="002956B7" w:rsidRPr="002956B7" w:rsidRDefault="002956B7" w:rsidP="002956B7">
      <w:pPr>
        <w:pStyle w:val="ListParagraph"/>
        <w:numPr>
          <w:ilvl w:val="1"/>
          <w:numId w:val="3"/>
        </w:numPr>
        <w:ind w:left="851" w:hanging="851"/>
        <w:rPr>
          <w:rFonts w:ascii="Arial" w:hAnsi="Arial" w:cs="Arial"/>
          <w:sz w:val="22"/>
          <w:szCs w:val="22"/>
        </w:rPr>
      </w:pPr>
      <w:r w:rsidRPr="002956B7">
        <w:rPr>
          <w:rFonts w:ascii="Arial" w:hAnsi="Arial" w:cs="Arial"/>
          <w:sz w:val="22"/>
          <w:szCs w:val="22"/>
        </w:rPr>
        <w:t xml:space="preserve">Surgical retrieval of sperm is routinely commissioned by NHS England </w:t>
      </w:r>
      <w:r w:rsidR="00A31B64">
        <w:rPr>
          <w:rFonts w:ascii="Arial" w:hAnsi="Arial" w:cs="Arial"/>
          <w:sz w:val="22"/>
          <w:szCs w:val="22"/>
        </w:rPr>
        <w:t xml:space="preserve">(NHS-E) </w:t>
      </w:r>
      <w:r w:rsidRPr="002956B7">
        <w:rPr>
          <w:rFonts w:ascii="Arial" w:hAnsi="Arial" w:cs="Arial"/>
          <w:sz w:val="22"/>
          <w:szCs w:val="22"/>
        </w:rPr>
        <w:t>for male infertility if the patient satisfies the criteria outlined in the NHS-E service specification.</w:t>
      </w:r>
    </w:p>
    <w:p w14:paraId="192A6992" w14:textId="77777777" w:rsidR="002956B7" w:rsidRPr="002956B7" w:rsidRDefault="002956B7" w:rsidP="002956B7">
      <w:pPr>
        <w:rPr>
          <w:rFonts w:ascii="Arial" w:hAnsi="Arial" w:cs="Arial"/>
          <w:sz w:val="22"/>
          <w:szCs w:val="22"/>
        </w:rPr>
      </w:pPr>
    </w:p>
    <w:p w14:paraId="261E2134" w14:textId="02F27121" w:rsidR="002956B7" w:rsidRPr="002956B7" w:rsidRDefault="002956B7" w:rsidP="002956B7">
      <w:pPr>
        <w:pStyle w:val="ListParagraph"/>
        <w:numPr>
          <w:ilvl w:val="1"/>
          <w:numId w:val="3"/>
        </w:numPr>
        <w:ind w:left="851" w:hanging="851"/>
        <w:rPr>
          <w:rFonts w:ascii="Arial" w:hAnsi="Arial" w:cs="Arial"/>
          <w:sz w:val="22"/>
          <w:szCs w:val="22"/>
        </w:rPr>
      </w:pPr>
      <w:r w:rsidRPr="002956B7">
        <w:rPr>
          <w:rFonts w:ascii="Arial" w:hAnsi="Arial" w:cs="Arial"/>
          <w:sz w:val="22"/>
          <w:szCs w:val="22"/>
        </w:rPr>
        <w:t>Before men can be referred to NHS–E, they must also qualify for treatment under the ICB’s subfertility policy.</w:t>
      </w:r>
    </w:p>
    <w:p w14:paraId="132DEBEC" w14:textId="77777777" w:rsidR="002956B7" w:rsidRPr="002956B7" w:rsidRDefault="002956B7" w:rsidP="002956B7">
      <w:pPr>
        <w:rPr>
          <w:rFonts w:ascii="Arial" w:hAnsi="Arial" w:cs="Arial"/>
          <w:sz w:val="22"/>
          <w:szCs w:val="22"/>
        </w:rPr>
      </w:pPr>
    </w:p>
    <w:p w14:paraId="6CEC9045" w14:textId="13788FB6" w:rsidR="002956B7" w:rsidRPr="002956B7" w:rsidRDefault="002956B7" w:rsidP="002956B7">
      <w:pPr>
        <w:pStyle w:val="ListParagraph"/>
        <w:numPr>
          <w:ilvl w:val="1"/>
          <w:numId w:val="3"/>
        </w:numPr>
        <w:ind w:left="851" w:hanging="851"/>
        <w:rPr>
          <w:rFonts w:ascii="Arial" w:hAnsi="Arial" w:cs="Arial"/>
          <w:sz w:val="22"/>
          <w:szCs w:val="22"/>
        </w:rPr>
      </w:pPr>
      <w:r w:rsidRPr="002956B7">
        <w:rPr>
          <w:rFonts w:ascii="Arial" w:hAnsi="Arial" w:cs="Arial"/>
          <w:sz w:val="22"/>
          <w:szCs w:val="22"/>
        </w:rPr>
        <w:t>In all other cases, surgical retrieval of sperm is not routinely commissioned by the ICB.</w:t>
      </w:r>
    </w:p>
    <w:p w14:paraId="46DCF24F" w14:textId="77777777" w:rsidR="005F2E44" w:rsidRPr="00BA2ED5" w:rsidRDefault="005F2E44" w:rsidP="005F2E44">
      <w:pPr>
        <w:rPr>
          <w:rFonts w:ascii="Arial" w:hAnsi="Arial" w:cs="Arial"/>
          <w:b/>
          <w:color w:val="FF0000"/>
          <w:sz w:val="20"/>
          <w:szCs w:val="20"/>
        </w:rPr>
      </w:pPr>
    </w:p>
    <w:p w14:paraId="2548AD0C" w14:textId="4ACC8FBC" w:rsidR="005F2E44" w:rsidRPr="00B12705" w:rsidRDefault="005F2E44" w:rsidP="000C46ED">
      <w:pPr>
        <w:pStyle w:val="Heading2"/>
        <w:numPr>
          <w:ilvl w:val="0"/>
          <w:numId w:val="3"/>
        </w:numPr>
        <w:ind w:left="851" w:hanging="851"/>
        <w:rPr>
          <w:rFonts w:eastAsiaTheme="minorHAnsi" w:cs="Arial"/>
          <w:b/>
          <w:bCs/>
          <w:sz w:val="36"/>
          <w:szCs w:val="36"/>
          <w:lang w:eastAsia="en-US"/>
        </w:rPr>
      </w:pPr>
      <w:bookmarkStart w:id="21" w:name="_Toc199755669"/>
      <w:r w:rsidRPr="00B12705">
        <w:rPr>
          <w:rFonts w:eastAsiaTheme="minorHAnsi" w:cs="Arial"/>
          <w:b/>
          <w:bCs/>
          <w:sz w:val="36"/>
          <w:szCs w:val="36"/>
          <w:lang w:eastAsia="en-US"/>
        </w:rPr>
        <w:t xml:space="preserve">Oocyte (egg) donation </w:t>
      </w:r>
      <w:r w:rsidR="00082D59" w:rsidRPr="00B12705">
        <w:rPr>
          <w:rFonts w:eastAsiaTheme="minorHAnsi" w:cs="Arial"/>
          <w:b/>
          <w:bCs/>
          <w:sz w:val="36"/>
          <w:szCs w:val="36"/>
          <w:lang w:eastAsia="en-US"/>
        </w:rPr>
        <w:t>and</w:t>
      </w:r>
      <w:r w:rsidRPr="00B12705">
        <w:rPr>
          <w:rFonts w:eastAsiaTheme="minorHAnsi" w:cs="Arial"/>
          <w:b/>
          <w:bCs/>
          <w:sz w:val="36"/>
          <w:szCs w:val="36"/>
          <w:lang w:eastAsia="en-US"/>
        </w:rPr>
        <w:t xml:space="preserve"> sharing and embryo donation</w:t>
      </w:r>
      <w:bookmarkEnd w:id="21"/>
    </w:p>
    <w:p w14:paraId="6076B8C1" w14:textId="77777777" w:rsidR="000D4F74" w:rsidRPr="00A43D4D" w:rsidRDefault="000D4F74" w:rsidP="00A43D4D">
      <w:pPr>
        <w:rPr>
          <w:rFonts w:ascii="Arial" w:hAnsi="Arial" w:cs="Arial"/>
          <w:sz w:val="22"/>
          <w:szCs w:val="22"/>
        </w:rPr>
      </w:pPr>
    </w:p>
    <w:p w14:paraId="7F2D8D19" w14:textId="001908C7" w:rsidR="00314148" w:rsidRPr="00314148" w:rsidRDefault="00314148" w:rsidP="00314148">
      <w:pPr>
        <w:pStyle w:val="ListParagraph"/>
        <w:numPr>
          <w:ilvl w:val="1"/>
          <w:numId w:val="3"/>
        </w:numPr>
        <w:ind w:left="851" w:hanging="851"/>
        <w:rPr>
          <w:rFonts w:ascii="Arial" w:hAnsi="Arial" w:cs="Arial"/>
          <w:sz w:val="22"/>
          <w:szCs w:val="22"/>
        </w:rPr>
      </w:pPr>
      <w:r w:rsidRPr="00314148">
        <w:rPr>
          <w:rFonts w:ascii="Arial" w:hAnsi="Arial" w:cs="Arial"/>
          <w:sz w:val="22"/>
          <w:szCs w:val="22"/>
        </w:rPr>
        <w:t>Donor oocytes in women up to their 43</w:t>
      </w:r>
      <w:r w:rsidRPr="00BE2884">
        <w:rPr>
          <w:rFonts w:ascii="Arial" w:hAnsi="Arial" w:cs="Arial"/>
          <w:sz w:val="22"/>
          <w:szCs w:val="22"/>
          <w:vertAlign w:val="superscript"/>
        </w:rPr>
        <w:t>rd</w:t>
      </w:r>
      <w:r w:rsidR="00BE2884">
        <w:rPr>
          <w:rFonts w:ascii="Arial" w:hAnsi="Arial" w:cs="Arial"/>
          <w:sz w:val="22"/>
          <w:szCs w:val="22"/>
        </w:rPr>
        <w:t xml:space="preserve"> </w:t>
      </w:r>
      <w:r w:rsidRPr="00314148">
        <w:rPr>
          <w:rFonts w:ascii="Arial" w:hAnsi="Arial" w:cs="Arial"/>
          <w:sz w:val="22"/>
          <w:szCs w:val="22"/>
        </w:rPr>
        <w:t>birthday are routinely commissioned for fertility problems associated with any of the following conditions:</w:t>
      </w:r>
    </w:p>
    <w:p w14:paraId="118AF1B2" w14:textId="77777777" w:rsidR="00314148" w:rsidRPr="00314148" w:rsidRDefault="00314148" w:rsidP="00314148">
      <w:pPr>
        <w:pStyle w:val="ListParagraph"/>
        <w:numPr>
          <w:ilvl w:val="1"/>
          <w:numId w:val="16"/>
        </w:numPr>
        <w:ind w:left="1276"/>
        <w:rPr>
          <w:rFonts w:ascii="Arial" w:hAnsi="Arial" w:cs="Arial"/>
          <w:sz w:val="22"/>
          <w:szCs w:val="22"/>
        </w:rPr>
      </w:pPr>
      <w:r w:rsidRPr="00314148">
        <w:rPr>
          <w:rFonts w:ascii="Arial" w:hAnsi="Arial" w:cs="Arial"/>
          <w:sz w:val="22"/>
          <w:szCs w:val="22"/>
        </w:rPr>
        <w:t xml:space="preserve">premature ovarian failure </w:t>
      </w:r>
    </w:p>
    <w:p w14:paraId="1A66E5A6" w14:textId="77777777" w:rsidR="00314148" w:rsidRPr="00314148" w:rsidRDefault="00314148" w:rsidP="00314148">
      <w:pPr>
        <w:pStyle w:val="ListParagraph"/>
        <w:numPr>
          <w:ilvl w:val="1"/>
          <w:numId w:val="16"/>
        </w:numPr>
        <w:ind w:left="1276"/>
        <w:rPr>
          <w:rFonts w:ascii="Arial" w:hAnsi="Arial" w:cs="Arial"/>
          <w:sz w:val="22"/>
          <w:szCs w:val="22"/>
        </w:rPr>
      </w:pPr>
      <w:r w:rsidRPr="00314148">
        <w:rPr>
          <w:rFonts w:ascii="Arial" w:hAnsi="Arial" w:cs="Arial"/>
          <w:sz w:val="22"/>
          <w:szCs w:val="22"/>
        </w:rPr>
        <w:t xml:space="preserve">gonadal dysgenesis, including Turner syndrome </w:t>
      </w:r>
    </w:p>
    <w:p w14:paraId="7884DCAE" w14:textId="77777777" w:rsidR="00314148" w:rsidRPr="00314148" w:rsidRDefault="00314148" w:rsidP="00314148">
      <w:pPr>
        <w:pStyle w:val="ListParagraph"/>
        <w:numPr>
          <w:ilvl w:val="1"/>
          <w:numId w:val="16"/>
        </w:numPr>
        <w:ind w:left="1276"/>
        <w:rPr>
          <w:rFonts w:ascii="Arial" w:hAnsi="Arial" w:cs="Arial"/>
          <w:sz w:val="22"/>
          <w:szCs w:val="22"/>
        </w:rPr>
      </w:pPr>
      <w:r w:rsidRPr="00314148">
        <w:rPr>
          <w:rFonts w:ascii="Arial" w:hAnsi="Arial" w:cs="Arial"/>
          <w:sz w:val="22"/>
          <w:szCs w:val="22"/>
        </w:rPr>
        <w:t xml:space="preserve">bilateral oophorectomy </w:t>
      </w:r>
    </w:p>
    <w:p w14:paraId="1C12F513" w14:textId="77777777" w:rsidR="00314148" w:rsidRPr="00314148" w:rsidRDefault="00314148" w:rsidP="00314148">
      <w:pPr>
        <w:pStyle w:val="ListParagraph"/>
        <w:numPr>
          <w:ilvl w:val="1"/>
          <w:numId w:val="16"/>
        </w:numPr>
        <w:ind w:left="1276"/>
        <w:rPr>
          <w:rFonts w:ascii="Arial" w:hAnsi="Arial" w:cs="Arial"/>
          <w:sz w:val="22"/>
          <w:szCs w:val="22"/>
        </w:rPr>
      </w:pPr>
      <w:r w:rsidRPr="00314148">
        <w:rPr>
          <w:rFonts w:ascii="Arial" w:hAnsi="Arial" w:cs="Arial"/>
          <w:sz w:val="22"/>
          <w:szCs w:val="22"/>
        </w:rPr>
        <w:t xml:space="preserve">ovarian failure following chemotherapy or radiotherapy </w:t>
      </w:r>
    </w:p>
    <w:p w14:paraId="1E50A91B" w14:textId="186C76E6" w:rsidR="00314148" w:rsidRPr="00314148" w:rsidRDefault="00314148" w:rsidP="00314148">
      <w:pPr>
        <w:pStyle w:val="ListParagraph"/>
        <w:numPr>
          <w:ilvl w:val="1"/>
          <w:numId w:val="16"/>
        </w:numPr>
        <w:ind w:left="1276"/>
        <w:rPr>
          <w:rFonts w:ascii="Arial" w:hAnsi="Arial" w:cs="Arial"/>
          <w:sz w:val="22"/>
          <w:szCs w:val="22"/>
        </w:rPr>
      </w:pPr>
      <w:r w:rsidRPr="00314148">
        <w:rPr>
          <w:rFonts w:ascii="Arial" w:hAnsi="Arial" w:cs="Arial"/>
          <w:sz w:val="22"/>
          <w:szCs w:val="22"/>
        </w:rPr>
        <w:t>certain cases of IVF treatment failure (e</w:t>
      </w:r>
      <w:r w:rsidR="00BE2884">
        <w:rPr>
          <w:rFonts w:ascii="Arial" w:hAnsi="Arial" w:cs="Arial"/>
          <w:sz w:val="22"/>
          <w:szCs w:val="22"/>
        </w:rPr>
        <w:t>.</w:t>
      </w:r>
      <w:r w:rsidRPr="00314148">
        <w:rPr>
          <w:rFonts w:ascii="Arial" w:hAnsi="Arial" w:cs="Arial"/>
          <w:sz w:val="22"/>
          <w:szCs w:val="22"/>
        </w:rPr>
        <w:t>g. very poor response to ovarian stimulation)</w:t>
      </w:r>
      <w:r w:rsidRPr="00BE2884">
        <w:rPr>
          <w:rFonts w:ascii="Arial" w:hAnsi="Arial" w:cs="Arial"/>
          <w:sz w:val="22"/>
          <w:szCs w:val="22"/>
          <w:vertAlign w:val="superscript"/>
        </w:rPr>
        <w:footnoteReference w:id="4"/>
      </w:r>
    </w:p>
    <w:p w14:paraId="17742410" w14:textId="7AE7ED14" w:rsidR="00314148" w:rsidRPr="00314148" w:rsidRDefault="00314148" w:rsidP="00314148">
      <w:pPr>
        <w:pStyle w:val="ListParagraph"/>
        <w:numPr>
          <w:ilvl w:val="1"/>
          <w:numId w:val="16"/>
        </w:numPr>
        <w:ind w:left="1276"/>
        <w:rPr>
          <w:rFonts w:ascii="Arial" w:hAnsi="Arial" w:cs="Arial"/>
          <w:sz w:val="22"/>
          <w:szCs w:val="22"/>
        </w:rPr>
      </w:pPr>
      <w:r w:rsidRPr="00314148">
        <w:rPr>
          <w:rFonts w:ascii="Arial" w:hAnsi="Arial" w:cs="Arial"/>
          <w:sz w:val="22"/>
          <w:szCs w:val="22"/>
        </w:rPr>
        <w:t>Oocyte donation may also be considered in certain cases where there is a high risk of transmitting a genetic disorder to the offspring</w:t>
      </w:r>
      <w:r w:rsidR="00BE2884">
        <w:rPr>
          <w:rFonts w:ascii="Arial" w:hAnsi="Arial" w:cs="Arial"/>
          <w:sz w:val="22"/>
          <w:szCs w:val="22"/>
        </w:rPr>
        <w:t>.</w:t>
      </w:r>
    </w:p>
    <w:p w14:paraId="5D983694" w14:textId="77777777" w:rsidR="00314148" w:rsidRPr="00314148" w:rsidRDefault="00314148" w:rsidP="00314148">
      <w:pPr>
        <w:rPr>
          <w:rFonts w:ascii="Arial" w:hAnsi="Arial" w:cs="Arial"/>
          <w:sz w:val="22"/>
          <w:szCs w:val="22"/>
        </w:rPr>
      </w:pPr>
    </w:p>
    <w:p w14:paraId="3372B185" w14:textId="34EF5B11" w:rsidR="00314148" w:rsidRPr="00314148" w:rsidRDefault="00314148" w:rsidP="00314148">
      <w:pPr>
        <w:pStyle w:val="ListParagraph"/>
        <w:numPr>
          <w:ilvl w:val="1"/>
          <w:numId w:val="3"/>
        </w:numPr>
        <w:ind w:left="851" w:hanging="851"/>
        <w:rPr>
          <w:rFonts w:ascii="Arial" w:hAnsi="Arial" w:cs="Arial"/>
          <w:sz w:val="22"/>
          <w:szCs w:val="22"/>
        </w:rPr>
      </w:pPr>
      <w:r w:rsidRPr="00314148">
        <w:rPr>
          <w:rFonts w:ascii="Arial" w:hAnsi="Arial" w:cs="Arial"/>
          <w:sz w:val="22"/>
          <w:szCs w:val="22"/>
        </w:rPr>
        <w:t xml:space="preserve">Oocyte (egg) sharing or donation for any ‘commercial’ consideration (i.e. purchase of additional entitlements) will not be approved. </w:t>
      </w:r>
    </w:p>
    <w:p w14:paraId="5211086B" w14:textId="77777777" w:rsidR="00314148" w:rsidRPr="00314148" w:rsidRDefault="00314148" w:rsidP="00314148">
      <w:pPr>
        <w:rPr>
          <w:rFonts w:ascii="Arial" w:hAnsi="Arial" w:cs="Arial"/>
          <w:sz w:val="22"/>
          <w:szCs w:val="22"/>
        </w:rPr>
      </w:pPr>
    </w:p>
    <w:p w14:paraId="727CC730" w14:textId="141A24E8" w:rsidR="00314148" w:rsidRPr="00314148" w:rsidRDefault="00314148" w:rsidP="00314148">
      <w:pPr>
        <w:pStyle w:val="ListParagraph"/>
        <w:numPr>
          <w:ilvl w:val="1"/>
          <w:numId w:val="3"/>
        </w:numPr>
        <w:ind w:left="851" w:hanging="851"/>
        <w:rPr>
          <w:rFonts w:ascii="Arial" w:hAnsi="Arial" w:cs="Arial"/>
          <w:sz w:val="22"/>
          <w:szCs w:val="22"/>
        </w:rPr>
      </w:pPr>
      <w:r w:rsidRPr="00314148">
        <w:rPr>
          <w:rFonts w:ascii="Arial" w:hAnsi="Arial" w:cs="Arial"/>
          <w:sz w:val="22"/>
          <w:szCs w:val="22"/>
        </w:rPr>
        <w:t>Oocyte(egg) donations will be sourced by Providers and charged separately.</w:t>
      </w:r>
    </w:p>
    <w:p w14:paraId="37F25FDE" w14:textId="77777777" w:rsidR="00314148" w:rsidRPr="00314148" w:rsidRDefault="00314148" w:rsidP="00314148">
      <w:pPr>
        <w:rPr>
          <w:rFonts w:ascii="Arial" w:hAnsi="Arial" w:cs="Arial"/>
          <w:sz w:val="22"/>
          <w:szCs w:val="22"/>
        </w:rPr>
      </w:pPr>
    </w:p>
    <w:p w14:paraId="6854A2FC" w14:textId="0700C1BB" w:rsidR="00314148" w:rsidRPr="00314148" w:rsidRDefault="00314148" w:rsidP="00314148">
      <w:pPr>
        <w:pStyle w:val="ListParagraph"/>
        <w:numPr>
          <w:ilvl w:val="1"/>
          <w:numId w:val="3"/>
        </w:numPr>
        <w:ind w:left="851" w:hanging="851"/>
        <w:rPr>
          <w:rFonts w:ascii="Arial" w:hAnsi="Arial" w:cs="Arial"/>
          <w:sz w:val="22"/>
          <w:szCs w:val="22"/>
        </w:rPr>
      </w:pPr>
      <w:r w:rsidRPr="00314148">
        <w:rPr>
          <w:rFonts w:ascii="Arial" w:hAnsi="Arial" w:cs="Arial"/>
          <w:sz w:val="22"/>
          <w:szCs w:val="22"/>
        </w:rPr>
        <w:t>Embryos donated by women according to Human Fertilisation and Embryology Authority (HFEA) regulations will be routinely commissioned for couples with female and male factor infertility.</w:t>
      </w:r>
    </w:p>
    <w:p w14:paraId="45DA16E9" w14:textId="77777777" w:rsidR="005F2E44" w:rsidRPr="00A43D4D" w:rsidRDefault="005F2E44" w:rsidP="00A43D4D">
      <w:pPr>
        <w:rPr>
          <w:rFonts w:ascii="Arial" w:hAnsi="Arial" w:cs="Arial"/>
          <w:sz w:val="22"/>
          <w:szCs w:val="22"/>
        </w:rPr>
      </w:pPr>
    </w:p>
    <w:p w14:paraId="5AADC794" w14:textId="303696CC" w:rsidR="005F2E44" w:rsidRPr="00B12705" w:rsidRDefault="005F2E44" w:rsidP="000C46ED">
      <w:pPr>
        <w:pStyle w:val="Heading2"/>
        <w:numPr>
          <w:ilvl w:val="0"/>
          <w:numId w:val="3"/>
        </w:numPr>
        <w:ind w:left="851" w:hanging="851"/>
        <w:rPr>
          <w:rFonts w:eastAsiaTheme="minorHAnsi" w:cs="Arial"/>
          <w:b/>
          <w:bCs/>
          <w:sz w:val="36"/>
          <w:szCs w:val="36"/>
          <w:lang w:eastAsia="en-US"/>
        </w:rPr>
      </w:pPr>
      <w:bookmarkStart w:id="22" w:name="_Toc199755670"/>
      <w:r w:rsidRPr="00B12705">
        <w:rPr>
          <w:rFonts w:eastAsiaTheme="minorHAnsi" w:cs="Arial"/>
          <w:b/>
          <w:bCs/>
          <w:sz w:val="36"/>
          <w:szCs w:val="36"/>
          <w:lang w:eastAsia="en-US"/>
        </w:rPr>
        <w:t>Storage and cryopreservation of embryos, oocytes (eggs) and semen</w:t>
      </w:r>
      <w:bookmarkEnd w:id="22"/>
    </w:p>
    <w:p w14:paraId="50D81C96" w14:textId="77777777" w:rsidR="00CE5494" w:rsidRPr="00CE5494" w:rsidRDefault="00CE5494" w:rsidP="00CE5494">
      <w:pPr>
        <w:rPr>
          <w:rFonts w:ascii="Arial" w:hAnsi="Arial" w:cs="Arial"/>
          <w:sz w:val="22"/>
          <w:szCs w:val="22"/>
        </w:rPr>
      </w:pPr>
    </w:p>
    <w:p w14:paraId="57CE57EC" w14:textId="3D5F0FFA" w:rsidR="005F2E44" w:rsidRPr="00186DC0" w:rsidRDefault="005F2E44" w:rsidP="001379C0">
      <w:pPr>
        <w:pStyle w:val="ListParagraph"/>
        <w:numPr>
          <w:ilvl w:val="1"/>
          <w:numId w:val="3"/>
        </w:numPr>
        <w:ind w:left="851" w:hanging="851"/>
        <w:rPr>
          <w:rFonts w:ascii="Arial" w:hAnsi="Arial" w:cs="Arial"/>
          <w:sz w:val="22"/>
          <w:szCs w:val="22"/>
        </w:rPr>
      </w:pPr>
      <w:r w:rsidRPr="00186DC0">
        <w:rPr>
          <w:rFonts w:ascii="Arial" w:hAnsi="Arial" w:cs="Arial"/>
          <w:sz w:val="22"/>
          <w:szCs w:val="22"/>
        </w:rPr>
        <w:t>Storage of embryos, oocytes or semen is routinely commissioned for eligible patients who are undergoing NHS subfertility treatment. Readers are required to interpret this section in conjunction with the ICB policy on “Childlessness</w:t>
      </w:r>
      <w:r w:rsidR="00CC0A5B" w:rsidRPr="00186DC0">
        <w:rPr>
          <w:rFonts w:ascii="Arial" w:hAnsi="Arial" w:cs="Arial"/>
          <w:sz w:val="22"/>
          <w:szCs w:val="22"/>
        </w:rPr>
        <w:t>.”</w:t>
      </w:r>
      <w:r w:rsidRPr="00186DC0">
        <w:rPr>
          <w:rFonts w:ascii="Arial" w:hAnsi="Arial" w:cs="Arial"/>
          <w:sz w:val="22"/>
          <w:szCs w:val="22"/>
        </w:rPr>
        <w:t xml:space="preserve"> </w:t>
      </w:r>
    </w:p>
    <w:p w14:paraId="220FECCD" w14:textId="77777777" w:rsidR="005F2E44" w:rsidRPr="00B171B9" w:rsidRDefault="005F2E44" w:rsidP="00CE5494">
      <w:pPr>
        <w:rPr>
          <w:rFonts w:ascii="Arial" w:hAnsi="Arial" w:cs="Arial"/>
          <w:sz w:val="22"/>
          <w:szCs w:val="22"/>
        </w:rPr>
      </w:pPr>
    </w:p>
    <w:p w14:paraId="57FC35CF" w14:textId="73F1F61D" w:rsidR="005F2E44" w:rsidRPr="00B171B9" w:rsidRDefault="0081764B" w:rsidP="00E85304">
      <w:pPr>
        <w:pStyle w:val="Heading3"/>
        <w:rPr>
          <w:rFonts w:eastAsiaTheme="minorHAnsi"/>
          <w:b/>
          <w:bCs/>
          <w:lang w:eastAsia="en-US"/>
        </w:rPr>
      </w:pPr>
      <w:bookmarkStart w:id="23" w:name="_Toc199755671"/>
      <w:r w:rsidRPr="00B171B9">
        <w:rPr>
          <w:rFonts w:eastAsiaTheme="minorHAnsi"/>
          <w:b/>
          <w:bCs/>
          <w:lang w:eastAsia="en-US"/>
        </w:rPr>
        <w:t xml:space="preserve">Fertility Preservation </w:t>
      </w:r>
      <w:r w:rsidR="00FF59EF">
        <w:rPr>
          <w:rFonts w:eastAsiaTheme="minorHAnsi"/>
          <w:b/>
          <w:bCs/>
          <w:lang w:eastAsia="en-US"/>
        </w:rPr>
        <w:t>before t</w:t>
      </w:r>
      <w:r w:rsidR="005F2E44" w:rsidRPr="00B171B9">
        <w:rPr>
          <w:rFonts w:eastAsiaTheme="minorHAnsi"/>
          <w:b/>
          <w:bCs/>
          <w:lang w:eastAsia="en-US"/>
        </w:rPr>
        <w:t xml:space="preserve">reatment for cancer </w:t>
      </w:r>
      <w:r w:rsidR="001A10D4">
        <w:rPr>
          <w:rFonts w:eastAsiaTheme="minorHAnsi"/>
          <w:b/>
          <w:bCs/>
          <w:lang w:eastAsia="en-US"/>
        </w:rPr>
        <w:t>(</w:t>
      </w:r>
      <w:r w:rsidR="005F2E44" w:rsidRPr="00B171B9">
        <w:rPr>
          <w:rFonts w:eastAsiaTheme="minorHAnsi"/>
          <w:b/>
          <w:bCs/>
          <w:lang w:eastAsia="en-US"/>
        </w:rPr>
        <w:t>or other procedures which affect fertility</w:t>
      </w:r>
      <w:r w:rsidR="001A10D4">
        <w:rPr>
          <w:rFonts w:eastAsiaTheme="minorHAnsi"/>
          <w:b/>
          <w:bCs/>
          <w:lang w:eastAsia="en-US"/>
        </w:rPr>
        <w:t>)</w:t>
      </w:r>
      <w:bookmarkEnd w:id="23"/>
    </w:p>
    <w:p w14:paraId="1A937CD9" w14:textId="77777777" w:rsidR="00CE5494" w:rsidRPr="00B171B9" w:rsidRDefault="00CE5494" w:rsidP="00CE5494">
      <w:pPr>
        <w:rPr>
          <w:rFonts w:ascii="Arial" w:hAnsi="Arial" w:cs="Arial"/>
          <w:sz w:val="22"/>
          <w:szCs w:val="22"/>
        </w:rPr>
      </w:pPr>
    </w:p>
    <w:p w14:paraId="01A92F07" w14:textId="4C8AEAA8" w:rsidR="005F2E44" w:rsidRPr="00B171B9" w:rsidRDefault="005F2E44" w:rsidP="001379C0">
      <w:pPr>
        <w:pStyle w:val="ListParagraph"/>
        <w:numPr>
          <w:ilvl w:val="1"/>
          <w:numId w:val="3"/>
        </w:numPr>
        <w:ind w:left="851" w:hanging="851"/>
        <w:rPr>
          <w:rFonts w:ascii="Arial" w:hAnsi="Arial" w:cs="Arial"/>
          <w:sz w:val="22"/>
          <w:szCs w:val="22"/>
        </w:rPr>
      </w:pPr>
      <w:r w:rsidRPr="00B171B9">
        <w:rPr>
          <w:rFonts w:ascii="Arial" w:hAnsi="Arial" w:cs="Arial"/>
          <w:sz w:val="22"/>
          <w:szCs w:val="22"/>
        </w:rPr>
        <w:t>Cryopreservation of embryos, oocytes or semen is routinely commissioned before treatments or procedure (e</w:t>
      </w:r>
      <w:r w:rsidR="00082D59" w:rsidRPr="00B171B9">
        <w:rPr>
          <w:rFonts w:ascii="Arial" w:hAnsi="Arial" w:cs="Arial"/>
          <w:sz w:val="22"/>
          <w:szCs w:val="22"/>
        </w:rPr>
        <w:t>.</w:t>
      </w:r>
      <w:r w:rsidRPr="00B171B9">
        <w:rPr>
          <w:rFonts w:ascii="Arial" w:hAnsi="Arial" w:cs="Arial"/>
          <w:sz w:val="22"/>
          <w:szCs w:val="22"/>
        </w:rPr>
        <w:t>g</w:t>
      </w:r>
      <w:r w:rsidR="00082D59" w:rsidRPr="00B171B9">
        <w:rPr>
          <w:rFonts w:ascii="Arial" w:hAnsi="Arial" w:cs="Arial"/>
          <w:sz w:val="22"/>
          <w:szCs w:val="22"/>
        </w:rPr>
        <w:t>.</w:t>
      </w:r>
      <w:r w:rsidRPr="00B171B9">
        <w:rPr>
          <w:rFonts w:ascii="Arial" w:hAnsi="Arial" w:cs="Arial"/>
          <w:sz w:val="22"/>
          <w:szCs w:val="22"/>
        </w:rPr>
        <w:t xml:space="preserve"> for cancer or other medically essential interventions such as a surgical procedure and/or administration of medication) which are known to affect fertility. This will be performed in accordance with the Human Fertilisation and Embryology Authority (HFEA) regulations and NICE guideline CG 156.</w:t>
      </w:r>
    </w:p>
    <w:p w14:paraId="405AC9C0" w14:textId="77777777" w:rsidR="00CE5494" w:rsidRPr="00B171B9" w:rsidRDefault="00CE5494" w:rsidP="00CE5494">
      <w:pPr>
        <w:rPr>
          <w:rFonts w:ascii="Arial" w:hAnsi="Arial" w:cs="Arial"/>
          <w:sz w:val="22"/>
          <w:szCs w:val="22"/>
        </w:rPr>
      </w:pPr>
    </w:p>
    <w:p w14:paraId="527DD770" w14:textId="4A9E922E" w:rsidR="005F2E44" w:rsidRPr="00B171B9" w:rsidRDefault="005F2E44" w:rsidP="001379C0">
      <w:pPr>
        <w:pStyle w:val="ListParagraph"/>
        <w:numPr>
          <w:ilvl w:val="1"/>
          <w:numId w:val="3"/>
        </w:numPr>
        <w:ind w:left="851" w:hanging="851"/>
        <w:rPr>
          <w:rFonts w:ascii="Arial" w:hAnsi="Arial" w:cs="Arial"/>
          <w:sz w:val="22"/>
          <w:szCs w:val="22"/>
        </w:rPr>
      </w:pPr>
      <w:r w:rsidRPr="00B171B9">
        <w:rPr>
          <w:rFonts w:ascii="Arial" w:hAnsi="Arial" w:cs="Arial"/>
          <w:sz w:val="22"/>
          <w:szCs w:val="22"/>
        </w:rPr>
        <w:lastRenderedPageBreak/>
        <w:t>Patients must satisfy the prevalent subfertility criteria when the time comes to use this stored material and they must have been informed of this requirement before commencing cryopreservation.</w:t>
      </w:r>
    </w:p>
    <w:p w14:paraId="06E2E1A0" w14:textId="77777777" w:rsidR="00CE5494" w:rsidRPr="00B171B9" w:rsidRDefault="00CE5494" w:rsidP="00CE5494">
      <w:pPr>
        <w:rPr>
          <w:rFonts w:ascii="Arial" w:hAnsi="Arial" w:cs="Arial"/>
          <w:sz w:val="22"/>
          <w:szCs w:val="22"/>
        </w:rPr>
      </w:pPr>
    </w:p>
    <w:p w14:paraId="40BED0DC" w14:textId="315A9171" w:rsidR="005F2E44" w:rsidRPr="00B171B9" w:rsidRDefault="005F2E44" w:rsidP="001379C0">
      <w:pPr>
        <w:pStyle w:val="ListParagraph"/>
        <w:numPr>
          <w:ilvl w:val="1"/>
          <w:numId w:val="3"/>
        </w:numPr>
        <w:ind w:left="851" w:hanging="851"/>
        <w:rPr>
          <w:rFonts w:ascii="Arial" w:hAnsi="Arial" w:cs="Arial"/>
          <w:sz w:val="22"/>
          <w:szCs w:val="22"/>
        </w:rPr>
      </w:pPr>
      <w:r w:rsidRPr="00B171B9">
        <w:rPr>
          <w:rFonts w:ascii="Arial" w:hAnsi="Arial" w:cs="Arial"/>
          <w:sz w:val="22"/>
          <w:szCs w:val="22"/>
        </w:rPr>
        <w:t>The cryopreserved material may be stored for 10 years or up to the female partner’s 43</w:t>
      </w:r>
      <w:r w:rsidRPr="00435163">
        <w:rPr>
          <w:rFonts w:ascii="Arial" w:hAnsi="Arial" w:cs="Arial"/>
          <w:sz w:val="22"/>
          <w:szCs w:val="22"/>
          <w:vertAlign w:val="superscript"/>
        </w:rPr>
        <w:t>rd</w:t>
      </w:r>
      <w:r w:rsidR="00435163">
        <w:rPr>
          <w:rFonts w:ascii="Arial" w:hAnsi="Arial" w:cs="Arial"/>
          <w:sz w:val="22"/>
          <w:szCs w:val="22"/>
        </w:rPr>
        <w:t xml:space="preserve"> </w:t>
      </w:r>
      <w:r w:rsidRPr="00B171B9">
        <w:rPr>
          <w:rFonts w:ascii="Arial" w:hAnsi="Arial" w:cs="Arial"/>
          <w:sz w:val="22"/>
          <w:szCs w:val="22"/>
        </w:rPr>
        <w:t xml:space="preserve">birthday, whichever comes sooner. </w:t>
      </w:r>
    </w:p>
    <w:p w14:paraId="735F5FCF" w14:textId="77777777" w:rsidR="005F2E44" w:rsidRPr="00B171B9" w:rsidRDefault="005F2E44" w:rsidP="00CE5494">
      <w:pPr>
        <w:rPr>
          <w:rFonts w:ascii="Arial" w:hAnsi="Arial" w:cs="Arial"/>
          <w:sz w:val="22"/>
          <w:szCs w:val="22"/>
        </w:rPr>
      </w:pPr>
    </w:p>
    <w:p w14:paraId="2CEB8AE0" w14:textId="247BADC0" w:rsidR="005F2E44" w:rsidRPr="00B171B9" w:rsidRDefault="0081764B" w:rsidP="00E85304">
      <w:pPr>
        <w:pStyle w:val="Heading3"/>
        <w:rPr>
          <w:rFonts w:eastAsiaTheme="minorHAnsi"/>
          <w:b/>
          <w:bCs/>
          <w:lang w:eastAsia="en-US"/>
        </w:rPr>
      </w:pPr>
      <w:bookmarkStart w:id="24" w:name="_Toc199755672"/>
      <w:r w:rsidRPr="00B171B9">
        <w:rPr>
          <w:rFonts w:eastAsiaTheme="minorHAnsi"/>
          <w:b/>
          <w:bCs/>
          <w:lang w:eastAsia="en-US"/>
        </w:rPr>
        <w:t xml:space="preserve">Following </w:t>
      </w:r>
      <w:r w:rsidR="005F2E44" w:rsidRPr="00B171B9">
        <w:rPr>
          <w:rFonts w:eastAsiaTheme="minorHAnsi"/>
          <w:b/>
          <w:bCs/>
          <w:lang w:eastAsia="en-US"/>
        </w:rPr>
        <w:t>a live birth</w:t>
      </w:r>
      <w:bookmarkEnd w:id="24"/>
    </w:p>
    <w:p w14:paraId="080810DF" w14:textId="77777777" w:rsidR="00CE5494" w:rsidRPr="00B171B9" w:rsidRDefault="00CE5494" w:rsidP="00CE5494">
      <w:pPr>
        <w:rPr>
          <w:rFonts w:ascii="Arial" w:hAnsi="Arial" w:cs="Arial"/>
          <w:sz w:val="22"/>
          <w:szCs w:val="22"/>
        </w:rPr>
      </w:pPr>
    </w:p>
    <w:p w14:paraId="71FDA2CA" w14:textId="77777777" w:rsidR="002A49EB" w:rsidRPr="002A49EB" w:rsidRDefault="002A49EB" w:rsidP="002A49EB">
      <w:pPr>
        <w:pStyle w:val="ListParagraph"/>
        <w:numPr>
          <w:ilvl w:val="1"/>
          <w:numId w:val="3"/>
        </w:numPr>
        <w:ind w:left="851" w:hanging="851"/>
        <w:rPr>
          <w:rFonts w:ascii="Arial" w:hAnsi="Arial" w:cs="Arial"/>
          <w:sz w:val="22"/>
          <w:szCs w:val="22"/>
        </w:rPr>
      </w:pPr>
      <w:r w:rsidRPr="002A49EB">
        <w:rPr>
          <w:rFonts w:ascii="Arial" w:hAnsi="Arial" w:cs="Arial"/>
          <w:sz w:val="22"/>
          <w:szCs w:val="22"/>
        </w:rPr>
        <w:t>The ICB will fund up to 12 months’ storage following the birth or adoption of a child (i.e. a “grace” period) to give the patient enough time to decide whether they wish to self-fund, donate the stored material or consent to having any remaining gametes or embryos destroyed.</w:t>
      </w:r>
    </w:p>
    <w:p w14:paraId="2C974827" w14:textId="77777777" w:rsidR="002A49EB" w:rsidRPr="002A49EB" w:rsidRDefault="002A49EB" w:rsidP="002A49EB">
      <w:pPr>
        <w:rPr>
          <w:rFonts w:ascii="Arial" w:hAnsi="Arial" w:cs="Arial"/>
          <w:sz w:val="22"/>
          <w:szCs w:val="22"/>
        </w:rPr>
      </w:pPr>
    </w:p>
    <w:p w14:paraId="2A5B16BF" w14:textId="18B32B78" w:rsidR="002A49EB" w:rsidRPr="002A49EB" w:rsidRDefault="002A49EB" w:rsidP="002A49EB">
      <w:pPr>
        <w:pStyle w:val="ListParagraph"/>
        <w:numPr>
          <w:ilvl w:val="1"/>
          <w:numId w:val="3"/>
        </w:numPr>
        <w:ind w:left="851" w:hanging="851"/>
        <w:rPr>
          <w:rFonts w:ascii="Arial" w:hAnsi="Arial" w:cs="Arial"/>
          <w:sz w:val="22"/>
          <w:szCs w:val="22"/>
        </w:rPr>
      </w:pPr>
      <w:r w:rsidRPr="002A49EB">
        <w:rPr>
          <w:rFonts w:ascii="Arial" w:hAnsi="Arial" w:cs="Arial"/>
          <w:sz w:val="22"/>
          <w:szCs w:val="22"/>
        </w:rPr>
        <w:t>This is in accordance with the ICB’s policy on “Childlessness” and beyond the “grace” period, funding for storage will no longer be available.</w:t>
      </w:r>
    </w:p>
    <w:p w14:paraId="6712B44D" w14:textId="77777777" w:rsidR="005F2E44" w:rsidRPr="00B171B9" w:rsidRDefault="005F2E44" w:rsidP="00CE5494">
      <w:pPr>
        <w:rPr>
          <w:rFonts w:ascii="Arial" w:hAnsi="Arial" w:cs="Arial"/>
          <w:sz w:val="22"/>
          <w:szCs w:val="22"/>
        </w:rPr>
      </w:pPr>
    </w:p>
    <w:p w14:paraId="1B2BC186" w14:textId="3C64397B" w:rsidR="005F2E44" w:rsidRPr="00B171B9" w:rsidRDefault="005F2E44" w:rsidP="00A46CD1">
      <w:pPr>
        <w:rPr>
          <w:rFonts w:eastAsiaTheme="minorEastAsia"/>
          <w:b/>
          <w:lang w:eastAsia="en-US"/>
        </w:rPr>
      </w:pPr>
    </w:p>
    <w:p w14:paraId="3943FAB0" w14:textId="621B6D1C" w:rsidR="00E85304" w:rsidRPr="00B171B9" w:rsidRDefault="00E85304" w:rsidP="0081764B">
      <w:pPr>
        <w:pStyle w:val="Heading2"/>
        <w:numPr>
          <w:ilvl w:val="0"/>
          <w:numId w:val="3"/>
        </w:numPr>
        <w:ind w:left="851" w:hanging="851"/>
        <w:rPr>
          <w:rFonts w:eastAsiaTheme="minorHAnsi" w:cs="Arial"/>
          <w:b/>
          <w:bCs/>
          <w:sz w:val="36"/>
          <w:szCs w:val="36"/>
          <w:lang w:eastAsia="en-US"/>
        </w:rPr>
      </w:pPr>
      <w:bookmarkStart w:id="25" w:name="_Toc199755673"/>
      <w:r w:rsidRPr="00B171B9">
        <w:rPr>
          <w:rFonts w:eastAsiaTheme="minorHAnsi" w:cs="Arial"/>
          <w:b/>
          <w:bCs/>
          <w:sz w:val="36"/>
          <w:szCs w:val="36"/>
          <w:lang w:eastAsia="en-US"/>
        </w:rPr>
        <w:t>Storage of Ovarian Tissue</w:t>
      </w:r>
      <w:bookmarkEnd w:id="25"/>
    </w:p>
    <w:p w14:paraId="76B20462" w14:textId="77777777" w:rsidR="00E85304" w:rsidRPr="00B171B9" w:rsidRDefault="00E85304" w:rsidP="005F2E44">
      <w:pPr>
        <w:rPr>
          <w:rFonts w:ascii="Arial" w:hAnsi="Arial" w:cs="Arial"/>
          <w:bCs/>
          <w:sz w:val="20"/>
          <w:szCs w:val="20"/>
        </w:rPr>
      </w:pPr>
    </w:p>
    <w:p w14:paraId="78ABEBE5" w14:textId="1B455D71" w:rsidR="005F2E44" w:rsidRPr="00B171B9" w:rsidRDefault="005F2E44" w:rsidP="001379C0">
      <w:pPr>
        <w:pStyle w:val="ListParagraph"/>
        <w:numPr>
          <w:ilvl w:val="1"/>
          <w:numId w:val="3"/>
        </w:numPr>
        <w:ind w:left="851" w:hanging="851"/>
        <w:rPr>
          <w:rFonts w:ascii="Arial" w:hAnsi="Arial" w:cs="Arial"/>
          <w:sz w:val="22"/>
          <w:szCs w:val="22"/>
        </w:rPr>
      </w:pPr>
      <w:r w:rsidRPr="00B171B9">
        <w:rPr>
          <w:rFonts w:ascii="Arial" w:hAnsi="Arial" w:cs="Arial"/>
          <w:sz w:val="22"/>
          <w:szCs w:val="22"/>
        </w:rPr>
        <w:t>Storage of ovarian tissue is not routinely funded.</w:t>
      </w:r>
    </w:p>
    <w:p w14:paraId="7685B590" w14:textId="77777777" w:rsidR="005F2E44" w:rsidRDefault="005F2E44" w:rsidP="00CE5494">
      <w:pPr>
        <w:rPr>
          <w:rFonts w:ascii="Arial" w:hAnsi="Arial" w:cs="Arial"/>
          <w:sz w:val="22"/>
          <w:szCs w:val="22"/>
        </w:rPr>
      </w:pPr>
    </w:p>
    <w:p w14:paraId="655C27B4" w14:textId="769BC97C" w:rsidR="005F2E44" w:rsidRPr="00B12705" w:rsidRDefault="005F2E44" w:rsidP="00B12705">
      <w:pPr>
        <w:pStyle w:val="Heading2"/>
        <w:numPr>
          <w:ilvl w:val="0"/>
          <w:numId w:val="3"/>
        </w:numPr>
        <w:ind w:left="851" w:hanging="851"/>
        <w:rPr>
          <w:rFonts w:eastAsiaTheme="minorHAnsi" w:cs="Arial"/>
          <w:b/>
          <w:bCs/>
          <w:sz w:val="36"/>
          <w:szCs w:val="36"/>
          <w:lang w:eastAsia="en-US"/>
        </w:rPr>
      </w:pPr>
      <w:bookmarkStart w:id="26" w:name="_Toc199755674"/>
      <w:r w:rsidRPr="00B12705">
        <w:rPr>
          <w:rFonts w:eastAsiaTheme="minorHAnsi" w:cs="Arial"/>
          <w:b/>
          <w:bCs/>
          <w:sz w:val="36"/>
          <w:szCs w:val="36"/>
          <w:lang w:eastAsia="en-US"/>
        </w:rPr>
        <w:t>Pre-Implantation Genetic Diagnosis (PGD)</w:t>
      </w:r>
      <w:bookmarkEnd w:id="26"/>
      <w:r w:rsidRPr="00B12705">
        <w:rPr>
          <w:rFonts w:eastAsiaTheme="minorHAnsi" w:cs="Arial"/>
          <w:b/>
          <w:bCs/>
          <w:sz w:val="36"/>
          <w:szCs w:val="36"/>
          <w:lang w:eastAsia="en-US"/>
        </w:rPr>
        <w:t xml:space="preserve"> </w:t>
      </w:r>
    </w:p>
    <w:p w14:paraId="56C5BFEB" w14:textId="77777777" w:rsidR="0081764B" w:rsidRPr="00243EAF" w:rsidRDefault="0081764B" w:rsidP="0081764B">
      <w:pPr>
        <w:rPr>
          <w:rFonts w:ascii="Arial" w:hAnsi="Arial" w:cs="Arial"/>
          <w:sz w:val="22"/>
          <w:szCs w:val="22"/>
        </w:rPr>
      </w:pPr>
    </w:p>
    <w:p w14:paraId="7B606ED0" w14:textId="77777777" w:rsidR="0081764B" w:rsidRPr="00243EAF" w:rsidRDefault="0081764B" w:rsidP="0081764B">
      <w:pPr>
        <w:pStyle w:val="ListParagraph"/>
        <w:numPr>
          <w:ilvl w:val="1"/>
          <w:numId w:val="3"/>
        </w:numPr>
        <w:ind w:left="851" w:hanging="851"/>
        <w:rPr>
          <w:rFonts w:ascii="Arial" w:hAnsi="Arial" w:cs="Arial"/>
          <w:sz w:val="22"/>
          <w:szCs w:val="22"/>
        </w:rPr>
      </w:pPr>
      <w:r w:rsidRPr="00243EAF">
        <w:rPr>
          <w:rFonts w:ascii="Arial" w:hAnsi="Arial" w:cs="Arial"/>
          <w:sz w:val="22"/>
          <w:szCs w:val="22"/>
        </w:rPr>
        <w:t>The ICB does not routinely commission PGD.</w:t>
      </w:r>
    </w:p>
    <w:p w14:paraId="0810A680" w14:textId="77777777" w:rsidR="0081764B" w:rsidRPr="00243EAF" w:rsidRDefault="0081764B" w:rsidP="00243EAF">
      <w:pPr>
        <w:rPr>
          <w:rFonts w:ascii="Arial" w:hAnsi="Arial" w:cs="Arial"/>
          <w:sz w:val="22"/>
          <w:szCs w:val="22"/>
        </w:rPr>
      </w:pPr>
    </w:p>
    <w:p w14:paraId="3298992E" w14:textId="77777777" w:rsidR="00243EAF" w:rsidRPr="00243EAF" w:rsidRDefault="005F2E44" w:rsidP="001379C0">
      <w:pPr>
        <w:pStyle w:val="ListParagraph"/>
        <w:numPr>
          <w:ilvl w:val="1"/>
          <w:numId w:val="3"/>
        </w:numPr>
        <w:ind w:left="851" w:hanging="851"/>
        <w:rPr>
          <w:rFonts w:ascii="Arial" w:hAnsi="Arial" w:cs="Arial"/>
          <w:sz w:val="22"/>
          <w:szCs w:val="22"/>
        </w:rPr>
      </w:pPr>
      <w:r w:rsidRPr="00243EAF">
        <w:rPr>
          <w:rFonts w:ascii="Arial" w:hAnsi="Arial" w:cs="Arial"/>
          <w:sz w:val="22"/>
          <w:szCs w:val="22"/>
        </w:rPr>
        <w:t>Pre-implantation genetic diagnosis (PGD) is routinely commissioned by NHS England.</w:t>
      </w:r>
      <w:r w:rsidR="003F7923" w:rsidRPr="00243EAF">
        <w:rPr>
          <w:rFonts w:ascii="Arial" w:hAnsi="Arial" w:cs="Arial"/>
          <w:sz w:val="22"/>
          <w:szCs w:val="22"/>
        </w:rPr>
        <w:t xml:space="preserve">  </w:t>
      </w:r>
    </w:p>
    <w:p w14:paraId="4D698385" w14:textId="452A55BE" w:rsidR="000D4F74" w:rsidRPr="000C46ED" w:rsidRDefault="00243EAF" w:rsidP="000C46ED">
      <w:pPr>
        <w:ind w:left="851"/>
        <w:rPr>
          <w:rFonts w:ascii="Arial" w:hAnsi="Arial" w:cs="Arial"/>
          <w:bCs/>
          <w:sz w:val="22"/>
          <w:szCs w:val="22"/>
        </w:rPr>
      </w:pPr>
      <w:hyperlink r:id="rId24" w:history="1">
        <w:r w:rsidRPr="000C46ED">
          <w:rPr>
            <w:rStyle w:val="Hyperlink"/>
            <w:rFonts w:ascii="Arial" w:hAnsi="Arial" w:cs="Arial"/>
            <w:bCs/>
            <w:sz w:val="22"/>
            <w:szCs w:val="22"/>
          </w:rPr>
          <w:t>https://www.england.nhs.uk/wp-content/uploads/2018/07/Pre-implantation-genetic-diagnosis.pdf</w:t>
        </w:r>
      </w:hyperlink>
      <w:r w:rsidR="003F7923" w:rsidRPr="000C46ED">
        <w:rPr>
          <w:rFonts w:ascii="Arial" w:hAnsi="Arial" w:cs="Arial"/>
          <w:bCs/>
          <w:sz w:val="22"/>
          <w:szCs w:val="22"/>
        </w:rPr>
        <w:t xml:space="preserve"> </w:t>
      </w:r>
    </w:p>
    <w:p w14:paraId="4206CEAF" w14:textId="77777777" w:rsidR="00243EAF" w:rsidRPr="00243EAF" w:rsidRDefault="00243EAF" w:rsidP="00243EAF">
      <w:pPr>
        <w:rPr>
          <w:rFonts w:ascii="Arial" w:hAnsi="Arial" w:cs="Arial"/>
          <w:bCs/>
          <w:sz w:val="20"/>
          <w:szCs w:val="20"/>
        </w:rPr>
      </w:pPr>
    </w:p>
    <w:p w14:paraId="1B6C1370" w14:textId="5A781FD1" w:rsidR="005F2E44" w:rsidRPr="00243EAF" w:rsidRDefault="005F2E44" w:rsidP="001379C0">
      <w:pPr>
        <w:pStyle w:val="ListParagraph"/>
        <w:numPr>
          <w:ilvl w:val="1"/>
          <w:numId w:val="3"/>
        </w:numPr>
        <w:ind w:left="851" w:hanging="851"/>
        <w:rPr>
          <w:rFonts w:ascii="Arial" w:hAnsi="Arial" w:cs="Arial"/>
          <w:sz w:val="22"/>
          <w:szCs w:val="22"/>
        </w:rPr>
      </w:pPr>
      <w:r w:rsidRPr="00243EAF">
        <w:rPr>
          <w:rFonts w:ascii="Arial" w:hAnsi="Arial" w:cs="Arial"/>
          <w:sz w:val="22"/>
          <w:szCs w:val="22"/>
        </w:rPr>
        <w:t>Patients requiring treatment should initially be referred to the Regional Clinical Genetics Service.</w:t>
      </w:r>
    </w:p>
    <w:p w14:paraId="7055F091" w14:textId="77777777" w:rsidR="005F2E44" w:rsidRPr="00243EAF" w:rsidRDefault="005F2E44" w:rsidP="00243EAF">
      <w:pPr>
        <w:rPr>
          <w:rFonts w:ascii="Arial" w:hAnsi="Arial" w:cs="Arial"/>
          <w:sz w:val="22"/>
          <w:szCs w:val="22"/>
        </w:rPr>
      </w:pPr>
    </w:p>
    <w:p w14:paraId="5211E281" w14:textId="18B7F5B2" w:rsidR="005F2E44" w:rsidRPr="00B12705" w:rsidRDefault="005F2E44" w:rsidP="00B12705">
      <w:pPr>
        <w:pStyle w:val="Heading2"/>
        <w:numPr>
          <w:ilvl w:val="0"/>
          <w:numId w:val="3"/>
        </w:numPr>
        <w:ind w:left="851" w:hanging="851"/>
        <w:rPr>
          <w:rFonts w:eastAsiaTheme="minorHAnsi" w:cs="Arial"/>
          <w:b/>
          <w:bCs/>
          <w:sz w:val="36"/>
          <w:szCs w:val="36"/>
          <w:lang w:eastAsia="en-US"/>
        </w:rPr>
      </w:pPr>
      <w:bookmarkStart w:id="27" w:name="_Hlk156318258"/>
      <w:bookmarkStart w:id="28" w:name="_Toc199755675"/>
      <w:r w:rsidRPr="00B12705">
        <w:rPr>
          <w:rFonts w:eastAsiaTheme="minorHAnsi" w:cs="Arial"/>
          <w:b/>
          <w:bCs/>
          <w:sz w:val="36"/>
          <w:szCs w:val="36"/>
          <w:lang w:eastAsia="en-US"/>
        </w:rPr>
        <w:t>Anti</w:t>
      </w:r>
      <w:bookmarkEnd w:id="27"/>
      <w:r w:rsidRPr="00B12705">
        <w:rPr>
          <w:rFonts w:eastAsiaTheme="minorHAnsi" w:cs="Arial"/>
          <w:b/>
          <w:bCs/>
          <w:sz w:val="36"/>
          <w:szCs w:val="36"/>
          <w:lang w:eastAsia="en-US"/>
        </w:rPr>
        <w:t>-Viral Transmission</w:t>
      </w:r>
      <w:bookmarkEnd w:id="28"/>
      <w:r w:rsidRPr="00B12705">
        <w:rPr>
          <w:rFonts w:eastAsiaTheme="minorHAnsi" w:cs="Arial"/>
          <w:b/>
          <w:bCs/>
          <w:sz w:val="36"/>
          <w:szCs w:val="36"/>
          <w:lang w:eastAsia="en-US"/>
        </w:rPr>
        <w:t xml:space="preserve"> </w:t>
      </w:r>
    </w:p>
    <w:p w14:paraId="63A6B084" w14:textId="77777777" w:rsidR="00E3381C" w:rsidRDefault="00E3381C" w:rsidP="005F2E44">
      <w:pPr>
        <w:rPr>
          <w:rFonts w:ascii="Arial" w:hAnsi="Arial" w:cs="Arial"/>
          <w:bCs/>
          <w:sz w:val="20"/>
          <w:szCs w:val="20"/>
        </w:rPr>
      </w:pPr>
    </w:p>
    <w:p w14:paraId="48C527E9" w14:textId="4A19FBB8" w:rsidR="005F2E44" w:rsidRPr="00243EAF" w:rsidRDefault="005F2E44" w:rsidP="001379C0">
      <w:pPr>
        <w:pStyle w:val="ListParagraph"/>
        <w:numPr>
          <w:ilvl w:val="1"/>
          <w:numId w:val="3"/>
        </w:numPr>
        <w:ind w:left="851" w:hanging="851"/>
        <w:rPr>
          <w:rFonts w:ascii="Arial" w:hAnsi="Arial" w:cs="Arial"/>
          <w:sz w:val="22"/>
          <w:szCs w:val="22"/>
        </w:rPr>
      </w:pPr>
      <w:r w:rsidRPr="00243EAF">
        <w:rPr>
          <w:rFonts w:ascii="Arial" w:hAnsi="Arial" w:cs="Arial"/>
          <w:sz w:val="22"/>
          <w:szCs w:val="22"/>
        </w:rPr>
        <w:t>Couples who are affected or may be affected by chronic viral infections (e.g. HIV, hepatitis B or C) should be managed according to the recommendations in NICE guideline CG 156.</w:t>
      </w:r>
    </w:p>
    <w:p w14:paraId="60E22A61" w14:textId="77777777" w:rsidR="00686503" w:rsidRDefault="00686503" w:rsidP="005F2E44">
      <w:pPr>
        <w:rPr>
          <w:rFonts w:ascii="Arial" w:hAnsi="Arial" w:cs="Arial"/>
          <w:bCs/>
          <w:color w:val="2E74B5" w:themeColor="accent5" w:themeShade="BF"/>
        </w:rPr>
      </w:pPr>
    </w:p>
    <w:p w14:paraId="3133CC0E" w14:textId="77777777" w:rsidR="00B922DD" w:rsidRDefault="00B922DD" w:rsidP="005F2E44">
      <w:pPr>
        <w:rPr>
          <w:rFonts w:ascii="Arial" w:hAnsi="Arial" w:cs="Arial"/>
          <w:bCs/>
          <w:color w:val="2E74B5" w:themeColor="accent5" w:themeShade="BF"/>
        </w:rPr>
      </w:pPr>
    </w:p>
    <w:p w14:paraId="0B784E5A" w14:textId="77777777" w:rsidR="00B922DD" w:rsidRDefault="00B922DD" w:rsidP="005F2E44">
      <w:pPr>
        <w:rPr>
          <w:rFonts w:ascii="Arial" w:hAnsi="Arial" w:cs="Arial"/>
          <w:bCs/>
          <w:color w:val="2E74B5" w:themeColor="accent5" w:themeShade="BF"/>
        </w:rPr>
      </w:pPr>
    </w:p>
    <w:p w14:paraId="68F0284D" w14:textId="77777777" w:rsidR="00B922DD" w:rsidRDefault="00B922DD" w:rsidP="005F2E44">
      <w:pPr>
        <w:rPr>
          <w:rFonts w:ascii="Arial" w:hAnsi="Arial" w:cs="Arial"/>
          <w:bCs/>
          <w:color w:val="2E74B5" w:themeColor="accent5" w:themeShade="BF"/>
        </w:rPr>
      </w:pPr>
    </w:p>
    <w:p w14:paraId="4C22EDF1" w14:textId="77777777" w:rsidR="00B922DD" w:rsidRDefault="00B922DD" w:rsidP="005F2E44">
      <w:pPr>
        <w:rPr>
          <w:rFonts w:ascii="Arial" w:hAnsi="Arial" w:cs="Arial"/>
          <w:bCs/>
          <w:color w:val="2E74B5" w:themeColor="accent5" w:themeShade="BF"/>
        </w:rPr>
      </w:pPr>
    </w:p>
    <w:p w14:paraId="5BB79C2A" w14:textId="77777777" w:rsidR="00B922DD" w:rsidRDefault="00B922DD" w:rsidP="005F2E44">
      <w:pPr>
        <w:rPr>
          <w:rFonts w:ascii="Arial" w:hAnsi="Arial" w:cs="Arial"/>
          <w:bCs/>
          <w:color w:val="2E74B5" w:themeColor="accent5" w:themeShade="BF"/>
        </w:rPr>
      </w:pPr>
    </w:p>
    <w:p w14:paraId="47C47A4A" w14:textId="77777777" w:rsidR="00B922DD" w:rsidRDefault="00B922DD" w:rsidP="005F2E44">
      <w:pPr>
        <w:rPr>
          <w:rFonts w:ascii="Arial" w:hAnsi="Arial" w:cs="Arial"/>
          <w:bCs/>
          <w:color w:val="2E74B5" w:themeColor="accent5" w:themeShade="BF"/>
        </w:rPr>
      </w:pPr>
    </w:p>
    <w:p w14:paraId="1F6EA521" w14:textId="77777777" w:rsidR="005F2E44" w:rsidRPr="000C46ED" w:rsidRDefault="005F2E44" w:rsidP="000C46ED">
      <w:pPr>
        <w:pStyle w:val="Heading1"/>
        <w:spacing w:before="0" w:beforeAutospacing="0" w:after="0" w:afterAutospacing="0" w:line="240" w:lineRule="auto"/>
        <w:rPr>
          <w:rFonts w:ascii="Arial" w:eastAsiaTheme="minorHAnsi" w:hAnsi="Arial" w:cs="Arial"/>
          <w:lang w:eastAsia="en-US"/>
        </w:rPr>
      </w:pPr>
      <w:bookmarkStart w:id="29" w:name="_Toc199755676"/>
      <w:r w:rsidRPr="000C46ED">
        <w:rPr>
          <w:rFonts w:ascii="Arial" w:eastAsiaTheme="minorHAnsi" w:hAnsi="Arial" w:cs="Arial"/>
          <w:lang w:eastAsia="en-US"/>
        </w:rPr>
        <w:t>Advice and Guidance</w:t>
      </w:r>
      <w:bookmarkEnd w:id="29"/>
    </w:p>
    <w:p w14:paraId="72C195DD" w14:textId="77777777" w:rsidR="005F2E44" w:rsidRDefault="005F2E44" w:rsidP="005F2E44">
      <w:pPr>
        <w:rPr>
          <w:rFonts w:ascii="Arial" w:hAnsi="Arial" w:cs="Arial"/>
          <w:sz w:val="22"/>
          <w:szCs w:val="22"/>
        </w:rPr>
      </w:pPr>
    </w:p>
    <w:p w14:paraId="079F25F1" w14:textId="77777777" w:rsidR="005F2E44" w:rsidRPr="000C46ED" w:rsidRDefault="005F2E44" w:rsidP="00B12705">
      <w:pPr>
        <w:pStyle w:val="Heading2"/>
        <w:numPr>
          <w:ilvl w:val="0"/>
          <w:numId w:val="3"/>
        </w:numPr>
        <w:ind w:left="851" w:hanging="851"/>
        <w:rPr>
          <w:rFonts w:eastAsiaTheme="minorHAnsi" w:cs="Arial"/>
          <w:b/>
          <w:bCs/>
          <w:sz w:val="36"/>
          <w:szCs w:val="36"/>
          <w:lang w:eastAsia="en-US"/>
        </w:rPr>
      </w:pPr>
      <w:bookmarkStart w:id="30" w:name="_Toc199755677"/>
      <w:r w:rsidRPr="000C46ED">
        <w:rPr>
          <w:rFonts w:eastAsiaTheme="minorHAnsi" w:cs="Arial"/>
          <w:b/>
          <w:bCs/>
          <w:sz w:val="36"/>
          <w:szCs w:val="36"/>
          <w:lang w:eastAsia="en-US"/>
        </w:rPr>
        <w:t>Aim and Objectives</w:t>
      </w:r>
      <w:bookmarkEnd w:id="30"/>
    </w:p>
    <w:p w14:paraId="7F7F3C54" w14:textId="77777777" w:rsidR="005F2E44" w:rsidRPr="00EE6ADE" w:rsidRDefault="005F2E44" w:rsidP="005F2E44">
      <w:pPr>
        <w:rPr>
          <w:rFonts w:ascii="Arial" w:hAnsi="Arial" w:cs="Arial"/>
          <w:sz w:val="22"/>
          <w:szCs w:val="22"/>
        </w:rPr>
      </w:pPr>
    </w:p>
    <w:p w14:paraId="4F3A620B" w14:textId="77777777" w:rsidR="005F2E44" w:rsidRPr="007076DF" w:rsidRDefault="005F2E44" w:rsidP="000C46ED">
      <w:pPr>
        <w:pStyle w:val="ListParagraph"/>
        <w:numPr>
          <w:ilvl w:val="1"/>
          <w:numId w:val="3"/>
        </w:numPr>
        <w:ind w:left="851" w:hanging="851"/>
        <w:rPr>
          <w:rFonts w:ascii="Arial" w:hAnsi="Arial" w:cs="Arial"/>
          <w:sz w:val="22"/>
          <w:szCs w:val="22"/>
        </w:rPr>
      </w:pPr>
      <w:r w:rsidRPr="007076DF">
        <w:rPr>
          <w:rFonts w:ascii="Arial" w:hAnsi="Arial" w:cs="Arial"/>
          <w:sz w:val="22"/>
          <w:szCs w:val="22"/>
        </w:rPr>
        <w:t xml:space="preserve">This policy aims to </w:t>
      </w:r>
      <w:r>
        <w:rPr>
          <w:rFonts w:ascii="Arial" w:hAnsi="Arial" w:cs="Arial"/>
          <w:sz w:val="22"/>
          <w:szCs w:val="22"/>
        </w:rPr>
        <w:t>ensure</w:t>
      </w:r>
      <w:r w:rsidRPr="007076DF">
        <w:rPr>
          <w:rFonts w:ascii="Arial" w:hAnsi="Arial" w:cs="Arial"/>
          <w:sz w:val="22"/>
          <w:szCs w:val="22"/>
        </w:rPr>
        <w:t xml:space="preserve"> </w:t>
      </w:r>
      <w:r>
        <w:rPr>
          <w:rFonts w:ascii="Arial" w:hAnsi="Arial" w:cs="Arial"/>
          <w:sz w:val="22"/>
          <w:szCs w:val="22"/>
        </w:rPr>
        <w:t xml:space="preserve">a </w:t>
      </w:r>
      <w:r w:rsidRPr="007076DF">
        <w:rPr>
          <w:rFonts w:ascii="Arial" w:hAnsi="Arial" w:cs="Arial"/>
          <w:sz w:val="22"/>
          <w:szCs w:val="22"/>
        </w:rPr>
        <w:t xml:space="preserve">common set of criteria for treatments and procedures across the region.  This is intended to reduce variation of access to NHS services in different areas and allow fair and equitable treatment for </w:t>
      </w:r>
      <w:r>
        <w:rPr>
          <w:rFonts w:ascii="Arial" w:hAnsi="Arial" w:cs="Arial"/>
          <w:sz w:val="22"/>
          <w:szCs w:val="22"/>
        </w:rPr>
        <w:t xml:space="preserve">all </w:t>
      </w:r>
      <w:r w:rsidRPr="007076DF">
        <w:rPr>
          <w:rFonts w:ascii="Arial" w:hAnsi="Arial" w:cs="Arial"/>
          <w:sz w:val="22"/>
          <w:szCs w:val="22"/>
        </w:rPr>
        <w:t xml:space="preserve">patients. </w:t>
      </w:r>
    </w:p>
    <w:p w14:paraId="0DD01FD5" w14:textId="77777777" w:rsidR="005F2E44" w:rsidRPr="003114C1" w:rsidRDefault="005F2E44" w:rsidP="005F2E44">
      <w:pPr>
        <w:ind w:left="556"/>
        <w:rPr>
          <w:rFonts w:ascii="Arial" w:hAnsi="Arial" w:cs="Arial"/>
          <w:sz w:val="22"/>
          <w:szCs w:val="22"/>
        </w:rPr>
      </w:pPr>
    </w:p>
    <w:p w14:paraId="0461EE12" w14:textId="77777777" w:rsidR="005F2E44" w:rsidRPr="00BF2EFB" w:rsidRDefault="005F2E44" w:rsidP="000C46ED">
      <w:pPr>
        <w:pStyle w:val="ListParagraph"/>
        <w:numPr>
          <w:ilvl w:val="1"/>
          <w:numId w:val="3"/>
        </w:numPr>
        <w:ind w:left="851" w:hanging="851"/>
        <w:rPr>
          <w:rFonts w:ascii="Arial" w:hAnsi="Arial" w:cs="Arial"/>
          <w:sz w:val="22"/>
          <w:szCs w:val="22"/>
        </w:rPr>
      </w:pPr>
      <w:r w:rsidRPr="00BF2EFB">
        <w:rPr>
          <w:rFonts w:ascii="Arial" w:hAnsi="Arial" w:cs="Arial"/>
          <w:sz w:val="22"/>
          <w:szCs w:val="22"/>
        </w:rPr>
        <w:lastRenderedPageBreak/>
        <w:t xml:space="preserve">This policy relates to the commissioning of interventions which </w:t>
      </w:r>
      <w:r>
        <w:rPr>
          <w:rFonts w:ascii="Arial" w:hAnsi="Arial" w:cs="Arial"/>
          <w:sz w:val="22"/>
          <w:szCs w:val="22"/>
        </w:rPr>
        <w:t>optimise clinical effectiveness and represent value for money</w:t>
      </w:r>
      <w:r w:rsidRPr="00BF2EFB">
        <w:rPr>
          <w:rFonts w:ascii="Arial" w:hAnsi="Arial" w:cs="Arial"/>
          <w:sz w:val="22"/>
          <w:szCs w:val="22"/>
        </w:rPr>
        <w:t xml:space="preserve">.  </w:t>
      </w:r>
    </w:p>
    <w:p w14:paraId="3BF6EB27" w14:textId="77777777" w:rsidR="005F2E44" w:rsidRPr="003114C1" w:rsidRDefault="005F2E44" w:rsidP="005F2E44">
      <w:pPr>
        <w:ind w:left="556"/>
        <w:rPr>
          <w:rFonts w:ascii="Arial" w:hAnsi="Arial" w:cs="Arial"/>
          <w:sz w:val="22"/>
          <w:szCs w:val="22"/>
        </w:rPr>
      </w:pPr>
    </w:p>
    <w:p w14:paraId="0AA7FD01" w14:textId="77777777" w:rsidR="005F2E44" w:rsidRDefault="005F2E44" w:rsidP="000C46ED">
      <w:pPr>
        <w:pStyle w:val="ListParagraph"/>
        <w:numPr>
          <w:ilvl w:val="1"/>
          <w:numId w:val="3"/>
        </w:numPr>
        <w:ind w:left="851" w:hanging="851"/>
        <w:rPr>
          <w:rFonts w:ascii="Arial" w:hAnsi="Arial" w:cs="Arial"/>
          <w:sz w:val="22"/>
          <w:szCs w:val="22"/>
        </w:rPr>
      </w:pPr>
      <w:r w:rsidRPr="00BF2EFB">
        <w:rPr>
          <w:rFonts w:ascii="Arial" w:hAnsi="Arial" w:cs="Arial"/>
          <w:sz w:val="22"/>
          <w:szCs w:val="22"/>
        </w:rPr>
        <w:t>This document is part of a suite of policies which the Integrated Care Board (ICB) uses to drive its commissioning of healthcare.  Each policy is a separate public document in its own right but should be considered alongside all the other policies in the suite</w:t>
      </w:r>
      <w:r>
        <w:rPr>
          <w:rFonts w:ascii="Arial" w:hAnsi="Arial" w:cs="Arial"/>
          <w:sz w:val="22"/>
          <w:szCs w:val="22"/>
        </w:rPr>
        <w:t xml:space="preserve"> as well as the core principles outlined</w:t>
      </w:r>
      <w:r w:rsidRPr="00BF2EFB">
        <w:rPr>
          <w:rFonts w:ascii="Arial" w:hAnsi="Arial" w:cs="Arial"/>
          <w:sz w:val="22"/>
          <w:szCs w:val="22"/>
        </w:rPr>
        <w:t>.</w:t>
      </w:r>
    </w:p>
    <w:p w14:paraId="69A1CDED" w14:textId="77777777" w:rsidR="005F2E44" w:rsidRPr="003114C1" w:rsidRDefault="005F2E44" w:rsidP="005F2E44">
      <w:pPr>
        <w:ind w:left="556"/>
        <w:rPr>
          <w:rFonts w:ascii="Arial" w:hAnsi="Arial" w:cs="Arial"/>
          <w:sz w:val="22"/>
          <w:szCs w:val="22"/>
        </w:rPr>
      </w:pPr>
    </w:p>
    <w:p w14:paraId="7F65F0A2" w14:textId="77777777" w:rsidR="005F2E44" w:rsidRDefault="005F2E44" w:rsidP="000C46ED">
      <w:pPr>
        <w:pStyle w:val="ListParagraph"/>
        <w:numPr>
          <w:ilvl w:val="1"/>
          <w:numId w:val="3"/>
        </w:numPr>
        <w:ind w:left="851" w:hanging="851"/>
        <w:rPr>
          <w:rFonts w:ascii="Arial" w:hAnsi="Arial" w:cs="Arial"/>
          <w:sz w:val="22"/>
          <w:szCs w:val="22"/>
        </w:rPr>
      </w:pPr>
      <w:r w:rsidRPr="00E721C0">
        <w:rPr>
          <w:rFonts w:ascii="Arial" w:hAnsi="Arial" w:cs="Arial"/>
          <w:sz w:val="22"/>
          <w:szCs w:val="22"/>
        </w:rPr>
        <w:t>At the time of publication, the evidence presented per procedure/treatment was the most current available.</w:t>
      </w:r>
    </w:p>
    <w:p w14:paraId="04CD7A81" w14:textId="77777777" w:rsidR="005F2E44" w:rsidRPr="003114C1" w:rsidRDefault="005F2E44" w:rsidP="005F2E44">
      <w:pPr>
        <w:ind w:left="556"/>
        <w:rPr>
          <w:rFonts w:ascii="Arial" w:hAnsi="Arial" w:cs="Arial"/>
          <w:sz w:val="22"/>
          <w:szCs w:val="22"/>
        </w:rPr>
      </w:pPr>
    </w:p>
    <w:p w14:paraId="59E15FE2" w14:textId="77777777" w:rsidR="005F2E44" w:rsidRDefault="005F2E44" w:rsidP="000C46ED">
      <w:pPr>
        <w:pStyle w:val="ListParagraph"/>
        <w:numPr>
          <w:ilvl w:val="1"/>
          <w:numId w:val="3"/>
        </w:numPr>
        <w:ind w:left="851" w:hanging="851"/>
        <w:rPr>
          <w:rFonts w:ascii="Arial" w:hAnsi="Arial" w:cs="Arial"/>
          <w:sz w:val="22"/>
          <w:szCs w:val="22"/>
        </w:rPr>
      </w:pPr>
      <w:r w:rsidRPr="00E17587">
        <w:rPr>
          <w:rFonts w:ascii="Arial" w:hAnsi="Arial" w:cs="Arial"/>
          <w:sz w:val="22"/>
          <w:szCs w:val="22"/>
        </w:rPr>
        <w:t xml:space="preserve">The main objective for having healthcare commissioning policies is to ensure that: </w:t>
      </w:r>
    </w:p>
    <w:p w14:paraId="5C1F48AD" w14:textId="77777777" w:rsidR="00421000" w:rsidRPr="00421000" w:rsidRDefault="00421000" w:rsidP="00421000">
      <w:pPr>
        <w:rPr>
          <w:rFonts w:ascii="Arial" w:hAnsi="Arial" w:cs="Arial"/>
          <w:sz w:val="22"/>
          <w:szCs w:val="22"/>
        </w:rPr>
      </w:pPr>
    </w:p>
    <w:p w14:paraId="362843B5" w14:textId="77777777" w:rsidR="005F2E44" w:rsidRPr="000C46ED"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 xml:space="preserve">Patients receive appropriate health treatments </w:t>
      </w:r>
    </w:p>
    <w:p w14:paraId="41BA5217" w14:textId="77777777" w:rsidR="005F2E44" w:rsidRPr="000C46ED"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 xml:space="preserve">Treatments with no or a very limited evidence base are not used; and </w:t>
      </w:r>
    </w:p>
    <w:p w14:paraId="23EC264E" w14:textId="77777777" w:rsidR="005F2E44" w:rsidRPr="000C46ED"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 xml:space="preserve">Treatments with minimal health gain are restricted. </w:t>
      </w:r>
    </w:p>
    <w:p w14:paraId="35865208" w14:textId="77777777" w:rsidR="005F2E44" w:rsidRPr="00E17587" w:rsidRDefault="005F2E44" w:rsidP="005F2E44">
      <w:pPr>
        <w:pStyle w:val="Default"/>
        <w:rPr>
          <w:sz w:val="22"/>
          <w:szCs w:val="22"/>
        </w:rPr>
      </w:pPr>
    </w:p>
    <w:p w14:paraId="7D05D29F" w14:textId="77777777" w:rsidR="005F2E44" w:rsidRPr="000C46ED" w:rsidRDefault="005F2E44" w:rsidP="00B12705">
      <w:pPr>
        <w:pStyle w:val="Heading2"/>
        <w:numPr>
          <w:ilvl w:val="0"/>
          <w:numId w:val="3"/>
        </w:numPr>
        <w:ind w:left="851" w:hanging="851"/>
        <w:rPr>
          <w:rFonts w:eastAsiaTheme="minorHAnsi" w:cs="Arial"/>
          <w:b/>
          <w:bCs/>
          <w:sz w:val="36"/>
          <w:szCs w:val="36"/>
          <w:lang w:eastAsia="en-US"/>
        </w:rPr>
      </w:pPr>
      <w:bookmarkStart w:id="31" w:name="_Toc199755678"/>
      <w:r w:rsidRPr="000C46ED">
        <w:rPr>
          <w:rFonts w:eastAsiaTheme="minorHAnsi" w:cs="Arial"/>
          <w:b/>
          <w:bCs/>
          <w:sz w:val="36"/>
          <w:szCs w:val="36"/>
          <w:lang w:eastAsia="en-US"/>
        </w:rPr>
        <w:t>Core Principles</w:t>
      </w:r>
      <w:bookmarkEnd w:id="31"/>
    </w:p>
    <w:p w14:paraId="636E162B" w14:textId="77777777" w:rsidR="005F2E44" w:rsidRPr="00D05BD0" w:rsidRDefault="005F2E44" w:rsidP="005F2E44">
      <w:pPr>
        <w:pStyle w:val="CM14"/>
        <w:ind w:right="200"/>
        <w:rPr>
          <w:rFonts w:ascii="Arial" w:hAnsi="Arial" w:cs="Arial"/>
          <w:color w:val="000000"/>
          <w:sz w:val="20"/>
          <w:szCs w:val="20"/>
        </w:rPr>
      </w:pPr>
    </w:p>
    <w:p w14:paraId="769E630E" w14:textId="559EF588" w:rsidR="00421000" w:rsidRDefault="005F2E44" w:rsidP="00421000">
      <w:pPr>
        <w:pStyle w:val="ListParagraph"/>
        <w:numPr>
          <w:ilvl w:val="1"/>
          <w:numId w:val="3"/>
        </w:numPr>
        <w:ind w:left="851" w:hanging="851"/>
        <w:rPr>
          <w:rFonts w:ascii="Arial" w:hAnsi="Arial" w:cs="Arial"/>
          <w:sz w:val="22"/>
          <w:szCs w:val="22"/>
        </w:rPr>
      </w:pPr>
      <w:r w:rsidRPr="00E17587">
        <w:rPr>
          <w:rFonts w:ascii="Arial" w:hAnsi="Arial" w:cs="Arial"/>
          <w:sz w:val="22"/>
          <w:szCs w:val="22"/>
        </w:rPr>
        <w:t>Commissioning decisions by ICB Commissioners are made in accordance with the commissioning principles set out as follows:</w:t>
      </w:r>
    </w:p>
    <w:p w14:paraId="44F05625" w14:textId="77777777" w:rsidR="00421000" w:rsidRPr="00421000" w:rsidRDefault="00421000" w:rsidP="00421000">
      <w:pPr>
        <w:pStyle w:val="ListParagraph"/>
        <w:ind w:left="851"/>
        <w:rPr>
          <w:rFonts w:ascii="Arial" w:hAnsi="Arial" w:cs="Arial"/>
          <w:sz w:val="22"/>
          <w:szCs w:val="22"/>
        </w:rPr>
      </w:pPr>
    </w:p>
    <w:p w14:paraId="151A4A0D" w14:textId="77777777" w:rsidR="005F2E44"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Commissioners require clear evidence of clinical effectiveness before NHS resources are invested in the treatment.</w:t>
      </w:r>
    </w:p>
    <w:p w14:paraId="2C979E3B" w14:textId="77777777" w:rsidR="005F2E44"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Commissioners require clear evidence of cost effectiveness before NHS resources are invested in the treatment.</w:t>
      </w:r>
    </w:p>
    <w:p w14:paraId="4F9DF82D" w14:textId="77777777" w:rsidR="005F2E44"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Commissioners will consider the extent to which the individual or patient group will gain a benefit from the treatment.</w:t>
      </w:r>
    </w:p>
    <w:p w14:paraId="7A46BFC5" w14:textId="77777777" w:rsidR="005F2E44"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Commissioners will balance the needs of an individual patient against the benefit which could be gained by alternative investment possibilities to meet the needs of the community.</w:t>
      </w:r>
    </w:p>
    <w:p w14:paraId="0737D837" w14:textId="77777777" w:rsidR="005F2E44"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Commissioners will consider all relevant national standards and consider all proper and authoritative guidance.</w:t>
      </w:r>
    </w:p>
    <w:p w14:paraId="046E5BF9" w14:textId="77777777" w:rsidR="005F2E44"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Where a treatment is approved Commissioners will respect patient choice as to where a treatment is delivered, in accordance with the ‘NHS Choice’ framework.</w:t>
      </w:r>
    </w:p>
    <w:p w14:paraId="18CB1675" w14:textId="77777777" w:rsidR="005F2E44" w:rsidRPr="000C46ED" w:rsidRDefault="005F2E44" w:rsidP="000C46ED">
      <w:pPr>
        <w:pStyle w:val="ListParagraph"/>
        <w:numPr>
          <w:ilvl w:val="1"/>
          <w:numId w:val="16"/>
        </w:numPr>
        <w:ind w:left="1276"/>
        <w:rPr>
          <w:rFonts w:ascii="Arial" w:hAnsi="Arial" w:cs="Arial"/>
          <w:sz w:val="22"/>
          <w:szCs w:val="22"/>
        </w:rPr>
      </w:pPr>
      <w:r w:rsidRPr="000C46ED">
        <w:rPr>
          <w:rFonts w:ascii="Arial" w:hAnsi="Arial" w:cs="Arial"/>
          <w:sz w:val="22"/>
          <w:szCs w:val="22"/>
        </w:rPr>
        <w:t>Commissioning decisions will give ‘due regard’ to promote equality and uphold human rights.  Decision making will follow robust procedures to ensure that decisions are fair and are made within legislative frameworks.</w:t>
      </w:r>
    </w:p>
    <w:p w14:paraId="4229466B" w14:textId="77777777" w:rsidR="005F2E44" w:rsidRDefault="005F2E44" w:rsidP="005F2E44">
      <w:pPr>
        <w:rPr>
          <w:sz w:val="20"/>
          <w:szCs w:val="20"/>
        </w:rPr>
      </w:pPr>
    </w:p>
    <w:p w14:paraId="6369502F" w14:textId="77777777" w:rsidR="00421000" w:rsidRDefault="00421000" w:rsidP="005F2E44">
      <w:pPr>
        <w:rPr>
          <w:sz w:val="20"/>
          <w:szCs w:val="20"/>
        </w:rPr>
      </w:pPr>
    </w:p>
    <w:p w14:paraId="65268DFA" w14:textId="77777777" w:rsidR="00421000" w:rsidRDefault="00421000" w:rsidP="005F2E44">
      <w:pPr>
        <w:rPr>
          <w:sz w:val="20"/>
          <w:szCs w:val="20"/>
        </w:rPr>
      </w:pPr>
    </w:p>
    <w:p w14:paraId="5C2370AC" w14:textId="77777777" w:rsidR="00421000" w:rsidRDefault="00421000" w:rsidP="005F2E44">
      <w:pPr>
        <w:rPr>
          <w:sz w:val="20"/>
          <w:szCs w:val="20"/>
        </w:rPr>
      </w:pPr>
    </w:p>
    <w:p w14:paraId="438FA5AD" w14:textId="77777777" w:rsidR="00421000" w:rsidRDefault="00421000" w:rsidP="005F2E44">
      <w:pPr>
        <w:rPr>
          <w:sz w:val="20"/>
          <w:szCs w:val="20"/>
        </w:rPr>
      </w:pPr>
    </w:p>
    <w:p w14:paraId="4F1AB09C" w14:textId="77777777" w:rsidR="00421000" w:rsidRPr="00D05BD0" w:rsidRDefault="00421000" w:rsidP="005F2E44">
      <w:pPr>
        <w:rPr>
          <w:sz w:val="20"/>
          <w:szCs w:val="20"/>
        </w:rPr>
      </w:pPr>
    </w:p>
    <w:p w14:paraId="447F4E63" w14:textId="77777777" w:rsidR="005F2E44" w:rsidRPr="000C46ED" w:rsidRDefault="005F2E44" w:rsidP="00B12705">
      <w:pPr>
        <w:pStyle w:val="Heading2"/>
        <w:numPr>
          <w:ilvl w:val="0"/>
          <w:numId w:val="3"/>
        </w:numPr>
        <w:ind w:left="851" w:hanging="851"/>
        <w:rPr>
          <w:rFonts w:eastAsiaTheme="minorHAnsi" w:cs="Arial"/>
          <w:b/>
          <w:bCs/>
          <w:sz w:val="36"/>
          <w:szCs w:val="36"/>
          <w:lang w:eastAsia="en-US"/>
        </w:rPr>
      </w:pPr>
      <w:bookmarkStart w:id="32" w:name="_Toc199755679"/>
      <w:r w:rsidRPr="000C46ED">
        <w:rPr>
          <w:rFonts w:eastAsiaTheme="minorHAnsi" w:cs="Arial"/>
          <w:b/>
          <w:bCs/>
          <w:sz w:val="36"/>
          <w:szCs w:val="36"/>
          <w:lang w:eastAsia="en-US"/>
        </w:rPr>
        <w:t>Individual Funding Requests (Clinical Exceptionality Funding)</w:t>
      </w:r>
      <w:bookmarkEnd w:id="32"/>
    </w:p>
    <w:p w14:paraId="62EF0BCC" w14:textId="77777777" w:rsidR="005F2E44" w:rsidRPr="001379C0" w:rsidRDefault="005F2E44" w:rsidP="001379C0">
      <w:pPr>
        <w:rPr>
          <w:rFonts w:ascii="Arial" w:hAnsi="Arial" w:cs="Arial"/>
          <w:color w:val="000000"/>
          <w:sz w:val="20"/>
          <w:szCs w:val="20"/>
        </w:rPr>
      </w:pPr>
    </w:p>
    <w:p w14:paraId="07A4772A" w14:textId="77777777" w:rsidR="005F2E44" w:rsidRPr="000A6EC5" w:rsidRDefault="005F2E44" w:rsidP="000C46ED">
      <w:pPr>
        <w:pStyle w:val="ListParagraph"/>
        <w:numPr>
          <w:ilvl w:val="1"/>
          <w:numId w:val="3"/>
        </w:numPr>
        <w:ind w:left="851" w:hanging="851"/>
        <w:rPr>
          <w:rFonts w:ascii="Arial" w:hAnsi="Arial" w:cs="Arial"/>
          <w:sz w:val="22"/>
          <w:szCs w:val="22"/>
        </w:rPr>
      </w:pPr>
      <w:r w:rsidRPr="000A6EC5">
        <w:rPr>
          <w:rFonts w:ascii="Arial" w:hAnsi="Arial" w:cs="Arial"/>
          <w:sz w:val="22"/>
          <w:szCs w:val="22"/>
        </w:rPr>
        <w:t xml:space="preserve">If any patients are excluded from this policy, for whatever reason, the clinician has the option to make an application for clinical exceptionality.  However, the clinician must make a robust case to the Panel to confirm their patient is distinct from all the other patients who might be excluded from the designated policy. </w:t>
      </w:r>
    </w:p>
    <w:p w14:paraId="4B7C48DE" w14:textId="77777777" w:rsidR="005F2E44" w:rsidRPr="000A6EC5" w:rsidRDefault="005F2E44" w:rsidP="005F2E44">
      <w:pPr>
        <w:rPr>
          <w:rFonts w:ascii="Arial" w:hAnsi="Arial" w:cs="Arial"/>
          <w:sz w:val="22"/>
          <w:szCs w:val="22"/>
        </w:rPr>
      </w:pPr>
    </w:p>
    <w:p w14:paraId="7A0458D7" w14:textId="77777777" w:rsidR="005F2E44" w:rsidRDefault="005F2E44" w:rsidP="000C46ED">
      <w:pPr>
        <w:pStyle w:val="ListParagraph"/>
        <w:numPr>
          <w:ilvl w:val="1"/>
          <w:numId w:val="3"/>
        </w:numPr>
        <w:ind w:left="851" w:hanging="851"/>
        <w:rPr>
          <w:rFonts w:ascii="Arial" w:hAnsi="Arial" w:cs="Arial"/>
          <w:sz w:val="22"/>
          <w:szCs w:val="22"/>
        </w:rPr>
      </w:pPr>
      <w:r w:rsidRPr="000A6EC5">
        <w:rPr>
          <w:rFonts w:ascii="Arial" w:hAnsi="Arial" w:cs="Arial"/>
          <w:sz w:val="22"/>
          <w:szCs w:val="22"/>
        </w:rPr>
        <w:t xml:space="preserve">The ICB will consider clinical exceptions to this policy in accordance with the Individual Funding Request (IFR) Governance Framework consisting of: IFR Decision Making </w:t>
      </w:r>
      <w:r w:rsidRPr="000A6EC5">
        <w:rPr>
          <w:rFonts w:ascii="Arial" w:hAnsi="Arial" w:cs="Arial"/>
          <w:sz w:val="22"/>
          <w:szCs w:val="22"/>
        </w:rPr>
        <w:lastRenderedPageBreak/>
        <w:t>Policy; and IFR Management Policy</w:t>
      </w:r>
      <w:r>
        <w:rPr>
          <w:rFonts w:ascii="Arial" w:hAnsi="Arial" w:cs="Arial"/>
          <w:sz w:val="22"/>
          <w:szCs w:val="22"/>
        </w:rPr>
        <w:t xml:space="preserve"> available on the C&amp;M ICB website:  </w:t>
      </w:r>
      <w:hyperlink r:id="rId25" w:history="1">
        <w:r w:rsidRPr="00E21B67">
          <w:rPr>
            <w:rStyle w:val="Hyperlink"/>
            <w:rFonts w:ascii="Arial" w:hAnsi="Arial" w:cs="Arial"/>
            <w:sz w:val="22"/>
            <w:szCs w:val="22"/>
          </w:rPr>
          <w:t>https://www.cheshireandmerseyside.nhs.uk/your-health/individual-funding-requests-ifr/</w:t>
        </w:r>
      </w:hyperlink>
      <w:r>
        <w:rPr>
          <w:rFonts w:ascii="Arial" w:hAnsi="Arial" w:cs="Arial"/>
          <w:sz w:val="22"/>
          <w:szCs w:val="22"/>
        </w:rPr>
        <w:t xml:space="preserve"> </w:t>
      </w:r>
    </w:p>
    <w:p w14:paraId="05477A1D" w14:textId="77777777" w:rsidR="00817CA6" w:rsidRPr="00817CA6" w:rsidRDefault="00817CA6" w:rsidP="00817CA6">
      <w:pPr>
        <w:rPr>
          <w:rFonts w:ascii="Arial" w:hAnsi="Arial" w:cs="Arial"/>
          <w:sz w:val="22"/>
          <w:szCs w:val="22"/>
        </w:rPr>
      </w:pPr>
    </w:p>
    <w:p w14:paraId="487009DB" w14:textId="77777777" w:rsidR="00BE34ED" w:rsidRPr="00B12705" w:rsidRDefault="00BE34ED" w:rsidP="00BE34ED">
      <w:pPr>
        <w:pStyle w:val="Heading2"/>
        <w:numPr>
          <w:ilvl w:val="0"/>
          <w:numId w:val="3"/>
        </w:numPr>
        <w:ind w:left="851" w:hanging="851"/>
        <w:rPr>
          <w:rFonts w:eastAsiaTheme="minorHAnsi" w:cs="Arial"/>
          <w:b/>
          <w:bCs/>
          <w:sz w:val="36"/>
          <w:szCs w:val="36"/>
          <w:lang w:eastAsia="en-US"/>
        </w:rPr>
      </w:pPr>
      <w:bookmarkStart w:id="33" w:name="_Toc199755680"/>
      <w:r w:rsidRPr="00B12705">
        <w:rPr>
          <w:rFonts w:eastAsiaTheme="minorHAnsi" w:cs="Arial"/>
          <w:b/>
          <w:bCs/>
          <w:sz w:val="36"/>
          <w:szCs w:val="36"/>
          <w:lang w:eastAsia="en-US"/>
        </w:rPr>
        <w:t>Monitoring and Review</w:t>
      </w:r>
      <w:bookmarkEnd w:id="33"/>
      <w:r w:rsidRPr="00B12705">
        <w:rPr>
          <w:rFonts w:eastAsiaTheme="minorHAnsi" w:cs="Arial"/>
          <w:b/>
          <w:bCs/>
          <w:sz w:val="36"/>
          <w:szCs w:val="36"/>
          <w:lang w:eastAsia="en-US"/>
        </w:rPr>
        <w:t xml:space="preserve"> </w:t>
      </w:r>
    </w:p>
    <w:p w14:paraId="0D36FA97" w14:textId="77777777" w:rsidR="00BE34ED" w:rsidRPr="008E6858" w:rsidRDefault="00BE34ED" w:rsidP="00BE34ED">
      <w:pPr>
        <w:rPr>
          <w:rFonts w:ascii="Arial" w:hAnsi="Arial" w:cs="Arial"/>
          <w:sz w:val="22"/>
          <w:szCs w:val="22"/>
        </w:rPr>
      </w:pPr>
      <w:r w:rsidRPr="0058409E">
        <w:rPr>
          <w:rFonts w:ascii="Arial" w:hAnsi="Arial" w:cs="Arial"/>
        </w:rPr>
        <w:tab/>
      </w:r>
    </w:p>
    <w:p w14:paraId="11383924" w14:textId="77777777" w:rsidR="00BE34ED" w:rsidRPr="008E6858" w:rsidRDefault="00BE34ED" w:rsidP="00BE34ED">
      <w:pPr>
        <w:pStyle w:val="ListParagraph"/>
        <w:numPr>
          <w:ilvl w:val="1"/>
          <w:numId w:val="3"/>
        </w:numPr>
        <w:ind w:left="851" w:hanging="851"/>
        <w:rPr>
          <w:rFonts w:ascii="Arial" w:hAnsi="Arial" w:cs="Arial"/>
          <w:sz w:val="22"/>
          <w:szCs w:val="22"/>
        </w:rPr>
      </w:pPr>
      <w:r w:rsidRPr="008E6858">
        <w:rPr>
          <w:rFonts w:ascii="Arial" w:hAnsi="Arial" w:cs="Arial"/>
          <w:sz w:val="22"/>
          <w:szCs w:val="22"/>
        </w:rPr>
        <w:t>This policy remains in force until it is superseded by a revised policy or by mandatory NICE guidance or other national directive relating to this intervention, or to alternative treatments for the same condition.</w:t>
      </w:r>
    </w:p>
    <w:p w14:paraId="34F4DC17" w14:textId="77777777" w:rsidR="00BE34ED" w:rsidRPr="008E6858" w:rsidRDefault="00BE34ED" w:rsidP="00BE34ED">
      <w:pPr>
        <w:rPr>
          <w:rFonts w:ascii="Arial" w:hAnsi="Arial" w:cs="Arial"/>
          <w:sz w:val="22"/>
          <w:szCs w:val="22"/>
        </w:rPr>
      </w:pPr>
    </w:p>
    <w:p w14:paraId="30AC392B" w14:textId="77777777" w:rsidR="00BE34ED" w:rsidRPr="008E6858" w:rsidRDefault="00BE34ED" w:rsidP="00BE34ED">
      <w:pPr>
        <w:pStyle w:val="ListParagraph"/>
        <w:numPr>
          <w:ilvl w:val="1"/>
          <w:numId w:val="3"/>
        </w:numPr>
        <w:ind w:left="851" w:hanging="851"/>
        <w:rPr>
          <w:rFonts w:ascii="Arial" w:hAnsi="Arial" w:cs="Arial"/>
          <w:sz w:val="22"/>
          <w:szCs w:val="22"/>
        </w:rPr>
      </w:pPr>
      <w:r w:rsidRPr="008E6858">
        <w:rPr>
          <w:rFonts w:ascii="Arial" w:hAnsi="Arial" w:cs="Arial"/>
          <w:sz w:val="22"/>
          <w:szCs w:val="22"/>
        </w:rPr>
        <w:t>This policy can only be considered valid when viewed via the ICB website or ICB staff intranet.  If this document is printed into hard copy or saved to another location, you must check that the version number on your copy matches that of the one published.</w:t>
      </w:r>
    </w:p>
    <w:p w14:paraId="5A1A0627" w14:textId="77777777" w:rsidR="00BE34ED" w:rsidRPr="008E6858" w:rsidRDefault="00BE34ED" w:rsidP="00BE34ED">
      <w:pPr>
        <w:rPr>
          <w:rFonts w:ascii="Arial" w:hAnsi="Arial" w:cs="Arial"/>
          <w:sz w:val="22"/>
          <w:szCs w:val="22"/>
        </w:rPr>
      </w:pPr>
      <w:r w:rsidRPr="008E6858">
        <w:rPr>
          <w:rFonts w:ascii="Arial" w:hAnsi="Arial" w:cs="Arial"/>
          <w:sz w:val="22"/>
          <w:szCs w:val="22"/>
        </w:rPr>
        <w:tab/>
      </w:r>
    </w:p>
    <w:p w14:paraId="336AF6B6" w14:textId="77777777" w:rsidR="00BE34ED" w:rsidRPr="0008365E" w:rsidRDefault="00BE34ED" w:rsidP="00BE34ED">
      <w:pPr>
        <w:pStyle w:val="ListParagraph"/>
        <w:numPr>
          <w:ilvl w:val="1"/>
          <w:numId w:val="3"/>
        </w:numPr>
        <w:ind w:left="851" w:hanging="851"/>
        <w:rPr>
          <w:rFonts w:ascii="Arial" w:hAnsi="Arial" w:cs="Arial"/>
          <w:sz w:val="22"/>
          <w:szCs w:val="22"/>
        </w:rPr>
      </w:pPr>
      <w:r w:rsidRPr="0008365E">
        <w:rPr>
          <w:rFonts w:ascii="Arial" w:hAnsi="Arial" w:cs="Arial"/>
          <w:sz w:val="22"/>
          <w:szCs w:val="22"/>
        </w:rPr>
        <w:t xml:space="preserve">This policy </w:t>
      </w:r>
      <w:r>
        <w:rPr>
          <w:rFonts w:ascii="Arial" w:hAnsi="Arial" w:cs="Arial"/>
          <w:sz w:val="22"/>
          <w:szCs w:val="22"/>
        </w:rPr>
        <w:t>may</w:t>
      </w:r>
      <w:r w:rsidRPr="0008365E">
        <w:rPr>
          <w:rFonts w:ascii="Arial" w:hAnsi="Arial" w:cs="Arial"/>
          <w:sz w:val="22"/>
          <w:szCs w:val="22"/>
        </w:rPr>
        <w:t xml:space="preserve"> be subject to continued monitoring using a mix of the following approaches: </w:t>
      </w:r>
    </w:p>
    <w:p w14:paraId="29877737" w14:textId="77777777" w:rsidR="00BE34ED" w:rsidRPr="0008365E" w:rsidRDefault="00BE34ED" w:rsidP="00BE34ED">
      <w:pPr>
        <w:pStyle w:val="ListParagraph"/>
        <w:numPr>
          <w:ilvl w:val="1"/>
          <w:numId w:val="16"/>
        </w:numPr>
        <w:ind w:left="1276"/>
        <w:rPr>
          <w:rFonts w:ascii="Arial" w:hAnsi="Arial" w:cs="Arial"/>
          <w:sz w:val="22"/>
          <w:szCs w:val="22"/>
        </w:rPr>
      </w:pPr>
      <w:r w:rsidRPr="0008365E">
        <w:rPr>
          <w:rFonts w:ascii="Arial" w:hAnsi="Arial" w:cs="Arial"/>
          <w:sz w:val="22"/>
          <w:szCs w:val="22"/>
        </w:rPr>
        <w:t xml:space="preserve">Prior approval process </w:t>
      </w:r>
    </w:p>
    <w:p w14:paraId="4CF53D51" w14:textId="77777777" w:rsidR="00BE34ED" w:rsidRPr="0008365E" w:rsidRDefault="00BE34ED" w:rsidP="00BE34ED">
      <w:pPr>
        <w:pStyle w:val="ListParagraph"/>
        <w:numPr>
          <w:ilvl w:val="1"/>
          <w:numId w:val="16"/>
        </w:numPr>
        <w:ind w:left="1276"/>
        <w:rPr>
          <w:rFonts w:ascii="Arial" w:hAnsi="Arial" w:cs="Arial"/>
          <w:sz w:val="22"/>
          <w:szCs w:val="22"/>
        </w:rPr>
      </w:pPr>
      <w:r w:rsidRPr="0008365E">
        <w:rPr>
          <w:rFonts w:ascii="Arial" w:hAnsi="Arial" w:cs="Arial"/>
          <w:sz w:val="22"/>
          <w:szCs w:val="22"/>
        </w:rPr>
        <w:t xml:space="preserve">Post activity monitoring through routine data </w:t>
      </w:r>
    </w:p>
    <w:p w14:paraId="773E1913" w14:textId="77777777" w:rsidR="00BE34ED" w:rsidRPr="0008365E" w:rsidRDefault="00BE34ED" w:rsidP="00BE34ED">
      <w:pPr>
        <w:pStyle w:val="ListParagraph"/>
        <w:numPr>
          <w:ilvl w:val="1"/>
          <w:numId w:val="16"/>
        </w:numPr>
        <w:ind w:left="1276"/>
        <w:rPr>
          <w:rFonts w:ascii="Arial" w:hAnsi="Arial" w:cs="Arial"/>
          <w:sz w:val="22"/>
          <w:szCs w:val="22"/>
        </w:rPr>
      </w:pPr>
      <w:r w:rsidRPr="0008365E">
        <w:rPr>
          <w:rFonts w:ascii="Arial" w:hAnsi="Arial" w:cs="Arial"/>
          <w:sz w:val="22"/>
          <w:szCs w:val="22"/>
        </w:rPr>
        <w:t xml:space="preserve">Post activity monitoring through case note audits </w:t>
      </w:r>
    </w:p>
    <w:p w14:paraId="2454E723" w14:textId="77777777" w:rsidR="00BE34ED" w:rsidRPr="0008365E" w:rsidRDefault="00BE34ED" w:rsidP="00BE34ED">
      <w:pPr>
        <w:rPr>
          <w:rFonts w:ascii="Arial" w:hAnsi="Arial" w:cs="Arial"/>
          <w:sz w:val="22"/>
          <w:szCs w:val="22"/>
        </w:rPr>
      </w:pPr>
    </w:p>
    <w:p w14:paraId="6833FFA8" w14:textId="77777777" w:rsidR="00BE34ED" w:rsidRPr="0008365E" w:rsidRDefault="00BE34ED" w:rsidP="00BE34ED">
      <w:pPr>
        <w:pStyle w:val="ListParagraph"/>
        <w:numPr>
          <w:ilvl w:val="1"/>
          <w:numId w:val="3"/>
        </w:numPr>
        <w:ind w:left="851" w:hanging="851"/>
        <w:rPr>
          <w:rFonts w:ascii="Arial" w:hAnsi="Arial" w:cs="Arial"/>
          <w:sz w:val="22"/>
          <w:szCs w:val="22"/>
        </w:rPr>
      </w:pPr>
      <w:r w:rsidRPr="0008365E">
        <w:rPr>
          <w:rFonts w:ascii="Arial" w:hAnsi="Arial" w:cs="Arial"/>
          <w:sz w:val="22"/>
          <w:szCs w:val="22"/>
        </w:rPr>
        <w:t>This policy will be kept under regular review, to ensure that it reflects developments in the evidence base regarding effectiveness</w:t>
      </w:r>
      <w:r>
        <w:rPr>
          <w:rFonts w:ascii="Arial" w:hAnsi="Arial" w:cs="Arial"/>
          <w:sz w:val="22"/>
          <w:szCs w:val="22"/>
        </w:rPr>
        <w:t xml:space="preserve"> and value</w:t>
      </w:r>
      <w:r w:rsidRPr="0008365E">
        <w:rPr>
          <w:rFonts w:ascii="Arial" w:hAnsi="Arial" w:cs="Arial"/>
          <w:sz w:val="22"/>
          <w:szCs w:val="22"/>
        </w:rPr>
        <w:t xml:space="preserve">. </w:t>
      </w:r>
    </w:p>
    <w:p w14:paraId="2DE3B6FC" w14:textId="77777777" w:rsidR="00BE34ED" w:rsidRPr="0008365E" w:rsidRDefault="00BE34ED" w:rsidP="00BE34ED">
      <w:pPr>
        <w:rPr>
          <w:rFonts w:ascii="Arial" w:hAnsi="Arial" w:cs="Arial"/>
          <w:sz w:val="22"/>
          <w:szCs w:val="22"/>
        </w:rPr>
      </w:pPr>
    </w:p>
    <w:p w14:paraId="13EFAB0E" w14:textId="77777777" w:rsidR="00BE34ED" w:rsidRPr="00B12705" w:rsidRDefault="00BE34ED" w:rsidP="00BE34ED">
      <w:pPr>
        <w:pStyle w:val="Heading2"/>
        <w:numPr>
          <w:ilvl w:val="0"/>
          <w:numId w:val="3"/>
        </w:numPr>
        <w:ind w:left="851" w:hanging="851"/>
        <w:rPr>
          <w:rFonts w:eastAsiaTheme="minorHAnsi" w:cs="Arial"/>
          <w:b/>
          <w:bCs/>
          <w:sz w:val="36"/>
          <w:szCs w:val="36"/>
          <w:lang w:eastAsia="en-US"/>
        </w:rPr>
      </w:pPr>
      <w:bookmarkStart w:id="34" w:name="_Toc199755681"/>
      <w:r w:rsidRPr="00B12705">
        <w:rPr>
          <w:rFonts w:eastAsiaTheme="minorHAnsi" w:cs="Arial"/>
          <w:b/>
          <w:bCs/>
          <w:sz w:val="36"/>
          <w:szCs w:val="36"/>
          <w:lang w:eastAsia="en-US"/>
        </w:rPr>
        <w:t>Quality and Equality Analysis</w:t>
      </w:r>
      <w:bookmarkEnd w:id="34"/>
    </w:p>
    <w:p w14:paraId="6C81F2D4" w14:textId="77777777" w:rsidR="00BE34ED" w:rsidRDefault="00BE34ED" w:rsidP="00BE34ED">
      <w:pPr>
        <w:rPr>
          <w:rFonts w:ascii="Arial" w:hAnsi="Arial" w:cs="Arial"/>
          <w:sz w:val="22"/>
          <w:szCs w:val="22"/>
        </w:rPr>
      </w:pPr>
    </w:p>
    <w:p w14:paraId="504D9870" w14:textId="77777777" w:rsidR="00BE34ED" w:rsidRPr="00F61678" w:rsidRDefault="00BE34ED" w:rsidP="00BE34ED">
      <w:pPr>
        <w:pStyle w:val="ListParagraph"/>
        <w:numPr>
          <w:ilvl w:val="1"/>
          <w:numId w:val="3"/>
        </w:numPr>
        <w:ind w:left="851" w:hanging="851"/>
        <w:rPr>
          <w:rFonts w:ascii="Arial" w:hAnsi="Arial" w:cs="Arial"/>
          <w:sz w:val="22"/>
          <w:szCs w:val="22"/>
        </w:rPr>
      </w:pPr>
      <w:r>
        <w:rPr>
          <w:rFonts w:ascii="Arial" w:hAnsi="Arial" w:cs="Arial"/>
          <w:sz w:val="22"/>
          <w:szCs w:val="22"/>
        </w:rPr>
        <w:t xml:space="preserve">Quality and </w:t>
      </w:r>
      <w:r w:rsidRPr="00F61678">
        <w:rPr>
          <w:rFonts w:ascii="Arial" w:hAnsi="Arial" w:cs="Arial"/>
          <w:sz w:val="22"/>
          <w:szCs w:val="22"/>
        </w:rPr>
        <w:t>Equality Impact Analys</w:t>
      </w:r>
      <w:r>
        <w:rPr>
          <w:rFonts w:ascii="Arial" w:hAnsi="Arial" w:cs="Arial"/>
          <w:sz w:val="22"/>
          <w:szCs w:val="22"/>
        </w:rPr>
        <w:t xml:space="preserve">es have </w:t>
      </w:r>
      <w:r w:rsidRPr="00F61678">
        <w:rPr>
          <w:rFonts w:ascii="Arial" w:hAnsi="Arial" w:cs="Arial"/>
          <w:sz w:val="22"/>
          <w:szCs w:val="22"/>
        </w:rPr>
        <w:t xml:space="preserve">been undertaken for </w:t>
      </w:r>
      <w:r>
        <w:rPr>
          <w:rFonts w:ascii="Arial" w:hAnsi="Arial" w:cs="Arial"/>
          <w:sz w:val="22"/>
          <w:szCs w:val="22"/>
        </w:rPr>
        <w:t>this policy</w:t>
      </w:r>
      <w:r w:rsidRPr="00F61678">
        <w:rPr>
          <w:rFonts w:ascii="Arial" w:hAnsi="Arial" w:cs="Arial"/>
          <w:sz w:val="22"/>
          <w:szCs w:val="22"/>
        </w:rPr>
        <w:t xml:space="preserve"> at the time of its review. </w:t>
      </w:r>
    </w:p>
    <w:p w14:paraId="5CE0854E" w14:textId="77777777" w:rsidR="005F2E44" w:rsidRDefault="005F2E44" w:rsidP="005F2E44">
      <w:pPr>
        <w:pStyle w:val="Heading1"/>
        <w:spacing w:before="0" w:beforeAutospacing="0" w:after="0" w:afterAutospacing="0" w:line="240" w:lineRule="auto"/>
        <w:rPr>
          <w:rFonts w:ascii="Arial" w:eastAsiaTheme="minorHAnsi" w:hAnsi="Arial" w:cs="Arial"/>
          <w:b w:val="0"/>
          <w:bCs w:val="0"/>
          <w:lang w:eastAsia="en-US"/>
        </w:rPr>
        <w:sectPr w:rsidR="005F2E44" w:rsidSect="00793329">
          <w:headerReference w:type="even" r:id="rId26"/>
          <w:headerReference w:type="default" r:id="rId27"/>
          <w:footerReference w:type="default" r:id="rId28"/>
          <w:headerReference w:type="first" r:id="rId29"/>
          <w:footnotePr>
            <w:numFmt w:val="chicago"/>
          </w:footnotePr>
          <w:endnotePr>
            <w:numFmt w:val="decimal"/>
          </w:endnotePr>
          <w:pgSz w:w="11906" w:h="16838"/>
          <w:pgMar w:top="1276" w:right="1133" w:bottom="1134" w:left="1134" w:header="709" w:footer="405" w:gutter="0"/>
          <w:cols w:space="708"/>
          <w:docGrid w:linePitch="360"/>
        </w:sectPr>
      </w:pPr>
    </w:p>
    <w:p w14:paraId="2C66E597" w14:textId="77777777" w:rsidR="005F2E44" w:rsidRPr="002015EB" w:rsidRDefault="005F2E44" w:rsidP="005F2E44">
      <w:pPr>
        <w:pStyle w:val="Heading1"/>
        <w:spacing w:before="0" w:beforeAutospacing="0" w:after="0" w:afterAutospacing="0" w:line="240" w:lineRule="auto"/>
        <w:rPr>
          <w:rFonts w:ascii="Arial" w:eastAsiaTheme="minorHAnsi" w:hAnsi="Arial" w:cs="Arial"/>
          <w:b w:val="0"/>
          <w:bCs w:val="0"/>
          <w:lang w:eastAsia="en-US"/>
        </w:rPr>
      </w:pPr>
      <w:bookmarkStart w:id="35" w:name="_Toc199755682"/>
      <w:r w:rsidRPr="002015EB">
        <w:rPr>
          <w:rFonts w:ascii="Arial" w:eastAsiaTheme="minorHAnsi" w:hAnsi="Arial" w:cs="Arial"/>
          <w:b w:val="0"/>
          <w:bCs w:val="0"/>
          <w:lang w:eastAsia="en-US"/>
        </w:rPr>
        <w:lastRenderedPageBreak/>
        <w:t>Document Control</w:t>
      </w:r>
      <w:bookmarkEnd w:id="35"/>
    </w:p>
    <w:p w14:paraId="435A901B" w14:textId="77777777" w:rsidR="0052782E" w:rsidRPr="002015EB" w:rsidRDefault="0052782E" w:rsidP="0052782E">
      <w:pPr>
        <w:spacing w:after="160" w:line="259" w:lineRule="auto"/>
        <w:rPr>
          <w:rFonts w:ascii="Arial" w:eastAsiaTheme="minorHAnsi" w:hAnsi="Arial" w:cs="Arial"/>
          <w:b/>
          <w:bCs/>
          <w:lang w:eastAsia="en-US"/>
        </w:rPr>
      </w:pPr>
    </w:p>
    <w:tbl>
      <w:tblPr>
        <w:tblW w:w="14743"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87"/>
        <w:gridCol w:w="9356"/>
      </w:tblGrid>
      <w:tr w:rsidR="005F2E44" w:rsidRPr="001C3295" w14:paraId="1BF137AB" w14:textId="77777777" w:rsidTr="0052782E">
        <w:trPr>
          <w:trHeight w:val="672"/>
        </w:trPr>
        <w:tc>
          <w:tcPr>
            <w:tcW w:w="5387" w:type="dxa"/>
            <w:tcBorders>
              <w:top w:val="single" w:sz="4" w:space="0" w:color="auto"/>
              <w:left w:val="single" w:sz="4" w:space="0" w:color="auto"/>
              <w:bottom w:val="single" w:sz="6" w:space="0" w:color="auto"/>
              <w:right w:val="single" w:sz="6" w:space="0" w:color="auto"/>
            </w:tcBorders>
            <w:vAlign w:val="center"/>
            <w:hideMark/>
          </w:tcPr>
          <w:p w14:paraId="0282AD0C" w14:textId="77777777" w:rsidR="005F2E44" w:rsidRPr="00A66F18" w:rsidRDefault="005F2E44" w:rsidP="0052782E">
            <w:pPr>
              <w:spacing w:before="40" w:after="40"/>
              <w:rPr>
                <w:rFonts w:ascii="Arial" w:eastAsia="Calibri" w:hAnsi="Arial" w:cs="Arial"/>
                <w:b/>
                <w:bCs/>
                <w:lang w:val="en-US" w:eastAsia="ja-JP"/>
              </w:rPr>
            </w:pPr>
            <w:r w:rsidRPr="00A66F18">
              <w:rPr>
                <w:rFonts w:ascii="Arial" w:eastAsia="Calibri" w:hAnsi="Arial" w:cs="Arial"/>
                <w:b/>
                <w:bCs/>
                <w:lang w:val="en-US" w:eastAsia="ja-JP"/>
              </w:rPr>
              <w:t>Ref:</w:t>
            </w:r>
          </w:p>
        </w:tc>
        <w:tc>
          <w:tcPr>
            <w:tcW w:w="9356" w:type="dxa"/>
            <w:tcBorders>
              <w:top w:val="single" w:sz="4" w:space="0" w:color="auto"/>
              <w:left w:val="single" w:sz="6" w:space="0" w:color="auto"/>
              <w:bottom w:val="single" w:sz="6" w:space="0" w:color="auto"/>
              <w:right w:val="single" w:sz="4" w:space="0" w:color="auto"/>
            </w:tcBorders>
            <w:vAlign w:val="center"/>
            <w:hideMark/>
          </w:tcPr>
          <w:p w14:paraId="6A355B01" w14:textId="6CB5E1EB" w:rsidR="005F2E44" w:rsidRPr="00927E9D" w:rsidRDefault="005F2E44" w:rsidP="001C71E6">
            <w:pPr>
              <w:pStyle w:val="Footer"/>
              <w:rPr>
                <w:rFonts w:ascii="Arial" w:hAnsi="Arial" w:cs="Arial"/>
                <w:sz w:val="20"/>
                <w:szCs w:val="20"/>
              </w:rPr>
            </w:pPr>
            <w:r w:rsidRPr="001C3295">
              <w:rPr>
                <w:rFonts w:ascii="Arial" w:eastAsia="Calibri" w:hAnsi="Arial" w:cs="Arial"/>
                <w:lang w:val="en-US" w:eastAsia="ja-JP"/>
              </w:rPr>
              <w:t>CMICB_Clin</w:t>
            </w:r>
            <w:r>
              <w:rPr>
                <w:rFonts w:ascii="Arial" w:eastAsia="Calibri" w:hAnsi="Arial" w:cs="Arial"/>
                <w:lang w:val="en-US" w:eastAsia="ja-JP"/>
              </w:rPr>
              <w:t>11</w:t>
            </w:r>
            <w:r w:rsidR="00F50E17">
              <w:rPr>
                <w:rFonts w:ascii="Arial" w:eastAsia="Calibri" w:hAnsi="Arial" w:cs="Arial"/>
                <w:lang w:val="en-US" w:eastAsia="ja-JP"/>
              </w:rPr>
              <w:t>5</w:t>
            </w:r>
            <w:r w:rsidRPr="00927E9D">
              <w:rPr>
                <w:rFonts w:ascii="Arial" w:eastAsia="Calibri" w:hAnsi="Arial" w:cs="Arial"/>
                <w:lang w:val="en-US" w:eastAsia="ja-JP"/>
              </w:rPr>
              <w:t xml:space="preserve"> </w:t>
            </w:r>
            <w:r>
              <w:rPr>
                <w:rFonts w:ascii="Arial" w:eastAsia="Calibri" w:hAnsi="Arial" w:cs="Arial"/>
                <w:lang w:val="en-US" w:eastAsia="ja-JP"/>
              </w:rPr>
              <w:t>–</w:t>
            </w:r>
            <w:r w:rsidRPr="00927E9D">
              <w:rPr>
                <w:rFonts w:ascii="Arial" w:eastAsia="Calibri" w:hAnsi="Arial" w:cs="Arial"/>
                <w:lang w:val="en-US" w:eastAsia="ja-JP"/>
              </w:rPr>
              <w:t xml:space="preserve"> </w:t>
            </w:r>
            <w:r w:rsidR="006613F0" w:rsidRPr="006613F0">
              <w:rPr>
                <w:rFonts w:ascii="Arial" w:hAnsi="Arial" w:cs="Arial"/>
              </w:rPr>
              <w:t>NHS funded treatment for subfertility</w:t>
            </w:r>
          </w:p>
        </w:tc>
      </w:tr>
      <w:tr w:rsidR="005F2E44" w:rsidRPr="001C3295" w14:paraId="6109518B" w14:textId="77777777" w:rsidTr="0052782E">
        <w:trPr>
          <w:trHeight w:val="672"/>
        </w:trPr>
        <w:tc>
          <w:tcPr>
            <w:tcW w:w="5387" w:type="dxa"/>
            <w:tcBorders>
              <w:top w:val="single" w:sz="4" w:space="0" w:color="auto"/>
              <w:left w:val="single" w:sz="4" w:space="0" w:color="auto"/>
              <w:bottom w:val="single" w:sz="6" w:space="0" w:color="auto"/>
              <w:right w:val="single" w:sz="6" w:space="0" w:color="auto"/>
            </w:tcBorders>
            <w:vAlign w:val="center"/>
            <w:hideMark/>
          </w:tcPr>
          <w:p w14:paraId="0FF160BC" w14:textId="77777777" w:rsidR="005F2E44" w:rsidRPr="00A66F18" w:rsidRDefault="005F2E44" w:rsidP="0052782E">
            <w:pPr>
              <w:spacing w:before="40" w:after="40"/>
              <w:rPr>
                <w:rFonts w:ascii="Arial" w:eastAsia="Calibri" w:hAnsi="Arial" w:cs="Arial"/>
                <w:b/>
                <w:bCs/>
                <w:lang w:val="en-US" w:eastAsia="ja-JP"/>
              </w:rPr>
            </w:pPr>
            <w:r w:rsidRPr="00A66F18">
              <w:rPr>
                <w:rFonts w:ascii="Arial" w:eastAsia="Calibri" w:hAnsi="Arial" w:cs="Arial"/>
                <w:b/>
                <w:bCs/>
                <w:lang w:val="en-US" w:eastAsia="ja-JP"/>
              </w:rPr>
              <w:t>Version:</w:t>
            </w:r>
          </w:p>
        </w:tc>
        <w:tc>
          <w:tcPr>
            <w:tcW w:w="9356" w:type="dxa"/>
            <w:tcBorders>
              <w:top w:val="single" w:sz="4" w:space="0" w:color="auto"/>
              <w:left w:val="single" w:sz="6" w:space="0" w:color="auto"/>
              <w:bottom w:val="single" w:sz="6" w:space="0" w:color="auto"/>
              <w:right w:val="single" w:sz="4" w:space="0" w:color="auto"/>
            </w:tcBorders>
            <w:vAlign w:val="center"/>
            <w:hideMark/>
          </w:tcPr>
          <w:p w14:paraId="3A18B5F5" w14:textId="1FF8B3FC" w:rsidR="005F2E44" w:rsidRPr="0027371E" w:rsidRDefault="005F2E44" w:rsidP="0052782E">
            <w:pPr>
              <w:spacing w:before="40" w:after="40"/>
              <w:rPr>
                <w:rFonts w:ascii="Arial" w:eastAsia="Calibri" w:hAnsi="Arial" w:cs="Arial"/>
                <w:lang w:val="en-US" w:eastAsia="ja-JP"/>
              </w:rPr>
            </w:pPr>
            <w:r w:rsidRPr="0027371E">
              <w:rPr>
                <w:rFonts w:ascii="Arial" w:hAnsi="Arial" w:cs="Arial"/>
              </w:rPr>
              <w:t>0.</w:t>
            </w:r>
            <w:r w:rsidR="006613F0">
              <w:rPr>
                <w:rFonts w:ascii="Arial" w:hAnsi="Arial" w:cs="Arial"/>
              </w:rPr>
              <w:t>4</w:t>
            </w:r>
            <w:r w:rsidRPr="0027371E">
              <w:rPr>
                <w:rFonts w:ascii="Arial" w:hAnsi="Arial" w:cs="Arial"/>
              </w:rPr>
              <w:t xml:space="preserve"> DRAFT</w:t>
            </w:r>
          </w:p>
        </w:tc>
      </w:tr>
      <w:tr w:rsidR="005F2E44" w:rsidRPr="001C3295" w14:paraId="0B235403" w14:textId="77777777" w:rsidTr="0052782E">
        <w:trPr>
          <w:trHeight w:val="672"/>
        </w:trPr>
        <w:tc>
          <w:tcPr>
            <w:tcW w:w="5387" w:type="dxa"/>
            <w:tcBorders>
              <w:top w:val="single" w:sz="4" w:space="0" w:color="auto"/>
              <w:left w:val="single" w:sz="4" w:space="0" w:color="auto"/>
              <w:bottom w:val="single" w:sz="6" w:space="0" w:color="auto"/>
              <w:right w:val="single" w:sz="6" w:space="0" w:color="auto"/>
            </w:tcBorders>
            <w:vAlign w:val="center"/>
            <w:hideMark/>
          </w:tcPr>
          <w:p w14:paraId="3D8A1DA9" w14:textId="77777777" w:rsidR="005F2E44" w:rsidRPr="00A66F18" w:rsidRDefault="005F2E44" w:rsidP="0052782E">
            <w:pPr>
              <w:spacing w:before="40" w:after="40"/>
              <w:rPr>
                <w:rFonts w:ascii="Arial" w:eastAsia="Calibri" w:hAnsi="Arial" w:cs="Arial"/>
                <w:b/>
                <w:bCs/>
                <w:lang w:val="en-US" w:eastAsia="ja-JP"/>
              </w:rPr>
            </w:pPr>
            <w:r w:rsidRPr="00A66F18">
              <w:rPr>
                <w:rFonts w:ascii="Arial" w:eastAsia="Calibri" w:hAnsi="Arial" w:cs="Arial"/>
                <w:b/>
                <w:bCs/>
                <w:lang w:val="en-US" w:eastAsia="ja-JP"/>
              </w:rPr>
              <w:t>Supersedes:</w:t>
            </w:r>
          </w:p>
        </w:tc>
        <w:tc>
          <w:tcPr>
            <w:tcW w:w="9356" w:type="dxa"/>
            <w:tcBorders>
              <w:top w:val="single" w:sz="4" w:space="0" w:color="auto"/>
              <w:left w:val="single" w:sz="6" w:space="0" w:color="auto"/>
              <w:bottom w:val="single" w:sz="6" w:space="0" w:color="auto"/>
              <w:right w:val="single" w:sz="4" w:space="0" w:color="auto"/>
            </w:tcBorders>
            <w:vAlign w:val="center"/>
            <w:hideMark/>
          </w:tcPr>
          <w:p w14:paraId="76A09FE7" w14:textId="77777777" w:rsidR="005F2E44" w:rsidRPr="001C3295" w:rsidRDefault="005F2E44" w:rsidP="0052782E">
            <w:pPr>
              <w:spacing w:before="40" w:after="40"/>
              <w:rPr>
                <w:rFonts w:ascii="Arial" w:eastAsia="Calibri" w:hAnsi="Arial" w:cs="Arial"/>
                <w:lang w:val="en-US" w:eastAsia="ja-JP"/>
              </w:rPr>
            </w:pPr>
            <w:r w:rsidRPr="001C3295">
              <w:rPr>
                <w:rFonts w:ascii="Arial" w:eastAsia="Calibri" w:hAnsi="Arial" w:cs="Arial"/>
                <w:lang w:val="en-US" w:eastAsia="ja-JP"/>
              </w:rPr>
              <w:t>Previous Clinical Commissioning Group (CCG) Policy</w:t>
            </w:r>
          </w:p>
        </w:tc>
      </w:tr>
      <w:tr w:rsidR="005F2E44" w:rsidRPr="001C3295" w14:paraId="712085B8" w14:textId="77777777" w:rsidTr="0052782E">
        <w:trPr>
          <w:trHeight w:val="672"/>
        </w:trPr>
        <w:tc>
          <w:tcPr>
            <w:tcW w:w="5387" w:type="dxa"/>
            <w:tcBorders>
              <w:top w:val="single" w:sz="6" w:space="0" w:color="auto"/>
              <w:left w:val="single" w:sz="4" w:space="0" w:color="auto"/>
              <w:bottom w:val="single" w:sz="6" w:space="0" w:color="auto"/>
              <w:right w:val="single" w:sz="6" w:space="0" w:color="auto"/>
            </w:tcBorders>
            <w:vAlign w:val="center"/>
            <w:hideMark/>
          </w:tcPr>
          <w:p w14:paraId="655AAA90" w14:textId="77777777" w:rsidR="005F2E44" w:rsidRPr="00A66F18" w:rsidRDefault="005F2E44" w:rsidP="001C71E6">
            <w:pPr>
              <w:spacing w:before="40" w:after="40"/>
              <w:rPr>
                <w:rFonts w:ascii="Arial" w:eastAsia="Calibri" w:hAnsi="Arial" w:cs="Arial"/>
                <w:b/>
                <w:bCs/>
                <w:lang w:val="en-US" w:eastAsia="ja-JP"/>
              </w:rPr>
            </w:pPr>
            <w:r w:rsidRPr="00A66F18">
              <w:rPr>
                <w:rFonts w:ascii="Arial" w:eastAsia="Calibri" w:hAnsi="Arial" w:cs="Arial"/>
                <w:b/>
                <w:bCs/>
                <w:lang w:val="en-US" w:eastAsia="ja-JP"/>
              </w:rPr>
              <w:t>Author (inc Job Title):</w:t>
            </w:r>
          </w:p>
        </w:tc>
        <w:tc>
          <w:tcPr>
            <w:tcW w:w="9356" w:type="dxa"/>
            <w:tcBorders>
              <w:top w:val="single" w:sz="6" w:space="0" w:color="auto"/>
              <w:left w:val="single" w:sz="6" w:space="0" w:color="auto"/>
              <w:bottom w:val="single" w:sz="6" w:space="0" w:color="auto"/>
              <w:right w:val="single" w:sz="4" w:space="0" w:color="auto"/>
            </w:tcBorders>
            <w:vAlign w:val="center"/>
          </w:tcPr>
          <w:p w14:paraId="624E4E59" w14:textId="77777777" w:rsidR="005F2E44" w:rsidRPr="001C3295" w:rsidRDefault="005F2E44" w:rsidP="0052782E">
            <w:pPr>
              <w:spacing w:before="40" w:after="40"/>
              <w:rPr>
                <w:rFonts w:ascii="Arial" w:eastAsia="Calibri" w:hAnsi="Arial" w:cs="Arial"/>
                <w:i/>
                <w:iCs/>
                <w:lang w:val="en-US" w:eastAsia="ja-JP"/>
              </w:rPr>
            </w:pPr>
          </w:p>
        </w:tc>
      </w:tr>
      <w:tr w:rsidR="005F2E44" w:rsidRPr="001C3295" w14:paraId="65988067" w14:textId="77777777" w:rsidTr="0052782E">
        <w:trPr>
          <w:trHeight w:val="672"/>
        </w:trPr>
        <w:tc>
          <w:tcPr>
            <w:tcW w:w="5387" w:type="dxa"/>
            <w:tcBorders>
              <w:top w:val="single" w:sz="6" w:space="0" w:color="auto"/>
              <w:left w:val="single" w:sz="4" w:space="0" w:color="auto"/>
              <w:bottom w:val="single" w:sz="6" w:space="0" w:color="auto"/>
              <w:right w:val="single" w:sz="6" w:space="0" w:color="auto"/>
            </w:tcBorders>
            <w:vAlign w:val="center"/>
            <w:hideMark/>
          </w:tcPr>
          <w:p w14:paraId="07B6D870" w14:textId="77777777" w:rsidR="005F2E44" w:rsidRPr="00A66F18" w:rsidRDefault="005F2E44" w:rsidP="0052782E">
            <w:pPr>
              <w:spacing w:before="40" w:after="40"/>
              <w:rPr>
                <w:rFonts w:ascii="Arial" w:eastAsia="Calibri" w:hAnsi="Arial" w:cs="Arial"/>
                <w:b/>
                <w:bCs/>
                <w:lang w:val="en-US" w:eastAsia="ja-JP"/>
              </w:rPr>
            </w:pPr>
            <w:r w:rsidRPr="00A66F18">
              <w:rPr>
                <w:rFonts w:ascii="Arial" w:eastAsia="Calibri" w:hAnsi="Arial" w:cs="Arial"/>
                <w:b/>
                <w:bCs/>
                <w:lang w:val="en-US" w:eastAsia="ja-JP"/>
              </w:rPr>
              <w:t>Ratified by:</w:t>
            </w:r>
          </w:p>
          <w:p w14:paraId="0C99E615" w14:textId="77777777" w:rsidR="005F2E44" w:rsidRPr="00A66F18" w:rsidRDefault="005F2E44" w:rsidP="001C71E6">
            <w:pPr>
              <w:spacing w:before="40" w:after="40"/>
              <w:rPr>
                <w:rFonts w:ascii="Arial" w:eastAsia="Calibri" w:hAnsi="Arial" w:cs="Arial"/>
                <w:b/>
                <w:bCs/>
                <w:lang w:val="en-US" w:eastAsia="ja-JP"/>
              </w:rPr>
            </w:pPr>
            <w:r w:rsidRPr="00A66F18">
              <w:rPr>
                <w:rFonts w:ascii="Arial" w:eastAsia="Calibri" w:hAnsi="Arial" w:cs="Arial"/>
                <w:b/>
                <w:bCs/>
                <w:lang w:val="en-US" w:eastAsia="ja-JP"/>
              </w:rPr>
              <w:t>(Name of responsible Committee)</w:t>
            </w:r>
          </w:p>
        </w:tc>
        <w:tc>
          <w:tcPr>
            <w:tcW w:w="9356" w:type="dxa"/>
            <w:tcBorders>
              <w:top w:val="single" w:sz="6" w:space="0" w:color="auto"/>
              <w:left w:val="single" w:sz="6" w:space="0" w:color="auto"/>
              <w:bottom w:val="single" w:sz="6" w:space="0" w:color="auto"/>
              <w:right w:val="single" w:sz="4" w:space="0" w:color="auto"/>
            </w:tcBorders>
            <w:vAlign w:val="center"/>
            <w:hideMark/>
          </w:tcPr>
          <w:p w14:paraId="071C593F" w14:textId="77777777" w:rsidR="005F2E44" w:rsidRPr="001C3295" w:rsidRDefault="005F2E44" w:rsidP="0052782E">
            <w:pPr>
              <w:spacing w:before="40" w:after="40"/>
              <w:rPr>
                <w:rFonts w:ascii="Arial" w:eastAsia="Calibri" w:hAnsi="Arial" w:cs="Arial"/>
                <w:i/>
                <w:iCs/>
                <w:lang w:val="en-US" w:eastAsia="ja-JP"/>
              </w:rPr>
            </w:pPr>
            <w:r w:rsidRPr="001C3295">
              <w:rPr>
                <w:rFonts w:ascii="Arial" w:eastAsia="Calibri" w:hAnsi="Arial" w:cs="Arial"/>
                <w:lang w:val="en-US" w:eastAsia="ja-JP"/>
              </w:rPr>
              <w:t>ICB Board</w:t>
            </w:r>
          </w:p>
        </w:tc>
      </w:tr>
      <w:tr w:rsidR="005F2E44" w:rsidRPr="001C3295" w14:paraId="0AA4B57B" w14:textId="77777777" w:rsidTr="0052782E">
        <w:trPr>
          <w:trHeight w:val="672"/>
        </w:trPr>
        <w:tc>
          <w:tcPr>
            <w:tcW w:w="5387" w:type="dxa"/>
            <w:tcBorders>
              <w:top w:val="single" w:sz="6" w:space="0" w:color="auto"/>
              <w:left w:val="single" w:sz="4" w:space="0" w:color="auto"/>
              <w:bottom w:val="single" w:sz="6" w:space="0" w:color="auto"/>
              <w:right w:val="single" w:sz="6" w:space="0" w:color="auto"/>
            </w:tcBorders>
            <w:vAlign w:val="center"/>
            <w:hideMark/>
          </w:tcPr>
          <w:p w14:paraId="2682EA4D" w14:textId="77777777" w:rsidR="005F2E44" w:rsidRPr="00A66F18" w:rsidRDefault="005F2E44" w:rsidP="001C71E6">
            <w:pPr>
              <w:spacing w:before="40" w:after="40"/>
              <w:rPr>
                <w:rFonts w:ascii="Arial" w:eastAsia="Calibri" w:hAnsi="Arial" w:cs="Arial"/>
                <w:b/>
                <w:bCs/>
                <w:lang w:val="en-US" w:eastAsia="ja-JP"/>
              </w:rPr>
            </w:pPr>
            <w:r w:rsidRPr="00A66F18">
              <w:rPr>
                <w:rFonts w:ascii="Arial" w:eastAsia="Calibri" w:hAnsi="Arial" w:cs="Arial"/>
                <w:b/>
                <w:bCs/>
                <w:lang w:val="en-US" w:eastAsia="ja-JP"/>
              </w:rPr>
              <w:t>Cross reference to other Policies/Guidance</w:t>
            </w:r>
          </w:p>
        </w:tc>
        <w:tc>
          <w:tcPr>
            <w:tcW w:w="9356" w:type="dxa"/>
            <w:tcBorders>
              <w:top w:val="single" w:sz="6" w:space="0" w:color="auto"/>
              <w:left w:val="single" w:sz="6" w:space="0" w:color="auto"/>
              <w:bottom w:val="single" w:sz="6" w:space="0" w:color="auto"/>
              <w:right w:val="single" w:sz="4" w:space="0" w:color="auto"/>
            </w:tcBorders>
            <w:vAlign w:val="center"/>
          </w:tcPr>
          <w:p w14:paraId="0763619F" w14:textId="77777777" w:rsidR="005F2E44" w:rsidRPr="001C3295" w:rsidRDefault="005F2E44" w:rsidP="001C71E6">
            <w:pPr>
              <w:spacing w:before="40" w:after="40"/>
              <w:rPr>
                <w:rFonts w:ascii="Arial" w:eastAsia="Calibri" w:hAnsi="Arial" w:cs="Arial"/>
                <w:lang w:val="en-US" w:eastAsia="ja-JP"/>
              </w:rPr>
            </w:pPr>
          </w:p>
        </w:tc>
      </w:tr>
      <w:tr w:rsidR="005F2E44" w:rsidRPr="001C3295" w14:paraId="554200D8" w14:textId="77777777" w:rsidTr="0052782E">
        <w:trPr>
          <w:trHeight w:val="672"/>
        </w:trPr>
        <w:tc>
          <w:tcPr>
            <w:tcW w:w="5387" w:type="dxa"/>
            <w:tcBorders>
              <w:top w:val="single" w:sz="6" w:space="0" w:color="auto"/>
              <w:left w:val="single" w:sz="4" w:space="0" w:color="auto"/>
              <w:bottom w:val="single" w:sz="6" w:space="0" w:color="auto"/>
              <w:right w:val="single" w:sz="6" w:space="0" w:color="auto"/>
            </w:tcBorders>
            <w:vAlign w:val="center"/>
            <w:hideMark/>
          </w:tcPr>
          <w:p w14:paraId="6BD2E34F" w14:textId="77777777" w:rsidR="005F2E44" w:rsidRPr="00A66F18" w:rsidRDefault="005F2E44" w:rsidP="001C71E6">
            <w:pPr>
              <w:spacing w:before="40" w:after="40"/>
              <w:rPr>
                <w:rFonts w:ascii="Arial" w:eastAsia="Calibri" w:hAnsi="Arial" w:cs="Arial"/>
                <w:b/>
                <w:bCs/>
                <w:lang w:val="en-US" w:eastAsia="ja-JP"/>
              </w:rPr>
            </w:pPr>
            <w:r w:rsidRPr="00A66F18">
              <w:rPr>
                <w:rFonts w:ascii="Arial" w:eastAsia="Calibri" w:hAnsi="Arial" w:cs="Arial"/>
                <w:b/>
                <w:bCs/>
                <w:lang w:val="en-US" w:eastAsia="ja-JP"/>
              </w:rPr>
              <w:t>Date Ratified:</w:t>
            </w:r>
          </w:p>
        </w:tc>
        <w:tc>
          <w:tcPr>
            <w:tcW w:w="9356" w:type="dxa"/>
            <w:tcBorders>
              <w:top w:val="single" w:sz="6" w:space="0" w:color="auto"/>
              <w:left w:val="single" w:sz="6" w:space="0" w:color="auto"/>
              <w:bottom w:val="single" w:sz="6" w:space="0" w:color="auto"/>
              <w:right w:val="single" w:sz="4" w:space="0" w:color="auto"/>
            </w:tcBorders>
            <w:vAlign w:val="center"/>
            <w:hideMark/>
          </w:tcPr>
          <w:p w14:paraId="14672D50" w14:textId="77777777" w:rsidR="005F2E44" w:rsidRPr="001C3295" w:rsidRDefault="005F2E44" w:rsidP="001C71E6">
            <w:pPr>
              <w:spacing w:before="40" w:after="40"/>
              <w:rPr>
                <w:rFonts w:ascii="Arial" w:eastAsia="Calibri" w:hAnsi="Arial" w:cs="Arial"/>
                <w:i/>
                <w:lang w:val="en-US" w:eastAsia="ja-JP"/>
              </w:rPr>
            </w:pPr>
            <w:r w:rsidRPr="001C3295">
              <w:rPr>
                <w:rFonts w:ascii="Arial" w:eastAsia="Calibri" w:hAnsi="Arial" w:cs="Arial"/>
                <w:lang w:val="en-US" w:eastAsia="ja-JP"/>
              </w:rPr>
              <w:t>TBC</w:t>
            </w:r>
          </w:p>
        </w:tc>
      </w:tr>
      <w:tr w:rsidR="005F2E44" w:rsidRPr="001C3295" w14:paraId="6E14E3C6" w14:textId="77777777" w:rsidTr="0052782E">
        <w:trPr>
          <w:trHeight w:val="672"/>
        </w:trPr>
        <w:tc>
          <w:tcPr>
            <w:tcW w:w="5387" w:type="dxa"/>
            <w:tcBorders>
              <w:top w:val="single" w:sz="6" w:space="0" w:color="auto"/>
              <w:left w:val="single" w:sz="4" w:space="0" w:color="auto"/>
              <w:bottom w:val="single" w:sz="6" w:space="0" w:color="auto"/>
              <w:right w:val="single" w:sz="6" w:space="0" w:color="auto"/>
            </w:tcBorders>
            <w:vAlign w:val="center"/>
            <w:hideMark/>
          </w:tcPr>
          <w:p w14:paraId="602753CE" w14:textId="77777777" w:rsidR="005F2E44" w:rsidRPr="00A66F18" w:rsidRDefault="005F2E44" w:rsidP="001C71E6">
            <w:pPr>
              <w:spacing w:before="40" w:after="40"/>
              <w:rPr>
                <w:rFonts w:ascii="Arial" w:eastAsia="Calibri" w:hAnsi="Arial" w:cs="Arial"/>
                <w:b/>
                <w:bCs/>
                <w:lang w:val="en-US" w:eastAsia="ja-JP"/>
              </w:rPr>
            </w:pPr>
            <w:r w:rsidRPr="00A66F18">
              <w:rPr>
                <w:rFonts w:ascii="Arial" w:eastAsia="Calibri" w:hAnsi="Arial" w:cs="Arial"/>
                <w:b/>
                <w:bCs/>
                <w:lang w:val="en-US" w:eastAsia="ja-JP"/>
              </w:rPr>
              <w:t xml:space="preserve">Date Published and where (Intranet or Website): </w:t>
            </w:r>
          </w:p>
        </w:tc>
        <w:tc>
          <w:tcPr>
            <w:tcW w:w="9356" w:type="dxa"/>
            <w:tcBorders>
              <w:top w:val="single" w:sz="6" w:space="0" w:color="auto"/>
              <w:left w:val="single" w:sz="6" w:space="0" w:color="auto"/>
              <w:bottom w:val="single" w:sz="6" w:space="0" w:color="auto"/>
              <w:right w:val="single" w:sz="4" w:space="0" w:color="auto"/>
            </w:tcBorders>
            <w:vAlign w:val="center"/>
            <w:hideMark/>
          </w:tcPr>
          <w:p w14:paraId="5FC6F0E8" w14:textId="77777777" w:rsidR="005F2E44" w:rsidRPr="001C3295" w:rsidRDefault="005F2E44" w:rsidP="001C71E6">
            <w:pPr>
              <w:spacing w:before="40" w:after="40"/>
              <w:rPr>
                <w:rFonts w:ascii="Arial" w:eastAsia="Calibri" w:hAnsi="Arial" w:cs="Arial"/>
                <w:lang w:val="en-US" w:eastAsia="ja-JP"/>
              </w:rPr>
            </w:pPr>
            <w:r w:rsidRPr="001C3295">
              <w:rPr>
                <w:rFonts w:ascii="Arial" w:eastAsia="Calibri" w:hAnsi="Arial" w:cs="Arial"/>
                <w:lang w:val="en-US" w:eastAsia="ja-JP"/>
              </w:rPr>
              <w:t>TBC - (Website)</w:t>
            </w:r>
          </w:p>
        </w:tc>
      </w:tr>
      <w:tr w:rsidR="005F2E44" w:rsidRPr="001C3295" w14:paraId="4E53E4AD" w14:textId="77777777" w:rsidTr="0052782E">
        <w:trPr>
          <w:trHeight w:val="672"/>
        </w:trPr>
        <w:tc>
          <w:tcPr>
            <w:tcW w:w="5387" w:type="dxa"/>
            <w:tcBorders>
              <w:top w:val="single" w:sz="6" w:space="0" w:color="auto"/>
              <w:left w:val="single" w:sz="4" w:space="0" w:color="auto"/>
              <w:bottom w:val="single" w:sz="6" w:space="0" w:color="auto"/>
              <w:right w:val="single" w:sz="6" w:space="0" w:color="auto"/>
            </w:tcBorders>
            <w:vAlign w:val="center"/>
            <w:hideMark/>
          </w:tcPr>
          <w:p w14:paraId="3273078F" w14:textId="77777777" w:rsidR="005F2E44" w:rsidRPr="00A66F18" w:rsidRDefault="005F2E44" w:rsidP="001C71E6">
            <w:pPr>
              <w:spacing w:before="40" w:after="40"/>
              <w:rPr>
                <w:rFonts w:ascii="Arial" w:eastAsia="Calibri" w:hAnsi="Arial" w:cs="Arial"/>
                <w:b/>
                <w:bCs/>
                <w:lang w:val="en-US" w:eastAsia="ja-JP"/>
              </w:rPr>
            </w:pPr>
            <w:r w:rsidRPr="00A66F18">
              <w:rPr>
                <w:rFonts w:ascii="Arial" w:eastAsia="Calibri" w:hAnsi="Arial" w:cs="Arial"/>
                <w:b/>
                <w:bCs/>
                <w:lang w:val="en-US" w:eastAsia="ja-JP"/>
              </w:rPr>
              <w:t>Review date:</w:t>
            </w:r>
          </w:p>
        </w:tc>
        <w:tc>
          <w:tcPr>
            <w:tcW w:w="9356" w:type="dxa"/>
            <w:tcBorders>
              <w:top w:val="single" w:sz="6" w:space="0" w:color="auto"/>
              <w:left w:val="single" w:sz="6" w:space="0" w:color="auto"/>
              <w:bottom w:val="single" w:sz="6" w:space="0" w:color="auto"/>
              <w:right w:val="single" w:sz="4" w:space="0" w:color="auto"/>
            </w:tcBorders>
            <w:vAlign w:val="center"/>
            <w:hideMark/>
          </w:tcPr>
          <w:p w14:paraId="01F5D0B2" w14:textId="77777777" w:rsidR="005F2E44" w:rsidRPr="001C3295" w:rsidRDefault="005F2E44" w:rsidP="001C71E6">
            <w:pPr>
              <w:spacing w:before="40" w:after="40"/>
              <w:rPr>
                <w:rFonts w:ascii="Arial" w:eastAsia="Calibri" w:hAnsi="Arial" w:cs="Arial"/>
                <w:bCs/>
                <w:i/>
                <w:iCs/>
                <w:lang w:val="en-US" w:eastAsia="ja-JP"/>
              </w:rPr>
            </w:pPr>
            <w:r w:rsidRPr="001C3295">
              <w:rPr>
                <w:rFonts w:ascii="Arial" w:eastAsia="Verdana,Arial" w:hAnsi="Arial" w:cs="Arial"/>
                <w:bCs/>
                <w:iCs/>
                <w:lang w:val="en-US" w:eastAsia="ja-JP"/>
              </w:rPr>
              <w:t>TBC</w:t>
            </w:r>
          </w:p>
        </w:tc>
      </w:tr>
      <w:tr w:rsidR="005F2E44" w:rsidRPr="001C3295" w14:paraId="19EF9594" w14:textId="77777777" w:rsidTr="0052782E">
        <w:trPr>
          <w:trHeight w:val="672"/>
        </w:trPr>
        <w:tc>
          <w:tcPr>
            <w:tcW w:w="5387" w:type="dxa"/>
            <w:tcBorders>
              <w:top w:val="single" w:sz="6" w:space="0" w:color="auto"/>
              <w:left w:val="single" w:sz="4" w:space="0" w:color="auto"/>
              <w:bottom w:val="single" w:sz="4" w:space="0" w:color="auto"/>
              <w:right w:val="single" w:sz="6" w:space="0" w:color="auto"/>
            </w:tcBorders>
            <w:vAlign w:val="center"/>
            <w:hideMark/>
          </w:tcPr>
          <w:p w14:paraId="03789A8B" w14:textId="77777777" w:rsidR="005F2E44" w:rsidRPr="00A66F18" w:rsidRDefault="005F2E44" w:rsidP="001C71E6">
            <w:pPr>
              <w:spacing w:before="40" w:after="40"/>
              <w:rPr>
                <w:rFonts w:ascii="Arial" w:eastAsia="Calibri" w:hAnsi="Arial" w:cs="Arial"/>
                <w:b/>
                <w:bCs/>
                <w:lang w:val="en-US" w:eastAsia="ja-JP"/>
              </w:rPr>
            </w:pPr>
            <w:r w:rsidRPr="00A66F18">
              <w:rPr>
                <w:rFonts w:ascii="Arial" w:eastAsia="Calibri" w:hAnsi="Arial" w:cs="Arial"/>
                <w:b/>
                <w:bCs/>
                <w:lang w:val="en-US" w:eastAsia="ja-JP"/>
              </w:rPr>
              <w:t>Target audience:</w:t>
            </w:r>
          </w:p>
        </w:tc>
        <w:tc>
          <w:tcPr>
            <w:tcW w:w="9356" w:type="dxa"/>
            <w:tcBorders>
              <w:top w:val="single" w:sz="6" w:space="0" w:color="auto"/>
              <w:left w:val="single" w:sz="6" w:space="0" w:color="auto"/>
              <w:bottom w:val="single" w:sz="4" w:space="0" w:color="auto"/>
              <w:right w:val="single" w:sz="4" w:space="0" w:color="auto"/>
            </w:tcBorders>
            <w:vAlign w:val="center"/>
            <w:hideMark/>
          </w:tcPr>
          <w:p w14:paraId="44CD7ADF" w14:textId="77777777" w:rsidR="005F2E44" w:rsidRPr="001C3295" w:rsidRDefault="005F2E44" w:rsidP="001C71E6">
            <w:pPr>
              <w:spacing w:before="40" w:after="40"/>
              <w:rPr>
                <w:rFonts w:ascii="Arial" w:eastAsia="Calibri" w:hAnsi="Arial" w:cs="Arial"/>
                <w:lang w:val="en-US" w:eastAsia="ja-JP"/>
              </w:rPr>
            </w:pPr>
            <w:r w:rsidRPr="001C3295">
              <w:rPr>
                <w:rFonts w:ascii="Arial" w:eastAsia="Calibri" w:hAnsi="Arial" w:cs="Arial"/>
                <w:lang w:val="en-US" w:eastAsia="ja-JP"/>
              </w:rPr>
              <w:t>All Cheshire &amp; Merseyside ICB Staff and Provider organisations</w:t>
            </w:r>
          </w:p>
        </w:tc>
      </w:tr>
    </w:tbl>
    <w:p w14:paraId="174A1D12" w14:textId="77777777" w:rsidR="005F2E44" w:rsidRDefault="005F2E44" w:rsidP="005F2E44">
      <w:pPr>
        <w:rPr>
          <w:sz w:val="22"/>
          <w:szCs w:val="22"/>
        </w:rPr>
      </w:pPr>
    </w:p>
    <w:p w14:paraId="15DA4254" w14:textId="77777777" w:rsidR="0052782E" w:rsidRDefault="0052782E">
      <w:pPr>
        <w:spacing w:after="160" w:line="259" w:lineRule="auto"/>
        <w:rPr>
          <w:rFonts w:ascii="Arial" w:eastAsiaTheme="minorHAnsi" w:hAnsi="Arial" w:cs="Arial"/>
          <w:kern w:val="36"/>
          <w:sz w:val="36"/>
          <w:szCs w:val="36"/>
          <w:lang w:eastAsia="en-US"/>
        </w:rPr>
      </w:pPr>
      <w:r>
        <w:rPr>
          <w:rFonts w:ascii="Arial" w:eastAsiaTheme="minorHAnsi" w:hAnsi="Arial" w:cs="Arial"/>
          <w:b/>
          <w:bCs/>
          <w:lang w:eastAsia="en-US"/>
        </w:rPr>
        <w:br w:type="page"/>
      </w:r>
    </w:p>
    <w:p w14:paraId="02A5BEDA" w14:textId="77D3DD35" w:rsidR="0052782E" w:rsidRPr="0052782E" w:rsidRDefault="0052782E" w:rsidP="0052782E">
      <w:pPr>
        <w:pStyle w:val="Heading1"/>
        <w:spacing w:before="0" w:beforeAutospacing="0" w:after="0" w:afterAutospacing="0" w:line="240" w:lineRule="auto"/>
        <w:rPr>
          <w:rFonts w:ascii="Arial" w:eastAsiaTheme="minorHAnsi" w:hAnsi="Arial" w:cs="Arial"/>
          <w:b w:val="0"/>
          <w:bCs w:val="0"/>
          <w:lang w:eastAsia="en-US"/>
        </w:rPr>
      </w:pPr>
      <w:bookmarkStart w:id="36" w:name="_Toc199755683"/>
      <w:r w:rsidRPr="00CC3411">
        <w:rPr>
          <w:rFonts w:ascii="Arial" w:eastAsiaTheme="minorHAnsi" w:hAnsi="Arial" w:cs="Arial"/>
          <w:b w:val="0"/>
          <w:bCs w:val="0"/>
          <w:lang w:eastAsia="en-US"/>
        </w:rPr>
        <w:lastRenderedPageBreak/>
        <w:t>Version History</w:t>
      </w:r>
      <w:bookmarkEnd w:id="36"/>
      <w:r w:rsidRPr="00CC3411">
        <w:rPr>
          <w:rFonts w:ascii="Arial" w:eastAsiaTheme="minorHAnsi" w:hAnsi="Arial" w:cs="Arial"/>
          <w:b w:val="0"/>
          <w:bCs w:val="0"/>
          <w:lang w:eastAsia="en-US"/>
        </w:rPr>
        <w:t> </w:t>
      </w:r>
    </w:p>
    <w:p w14:paraId="6B066042" w14:textId="77777777" w:rsidR="0052782E" w:rsidRDefault="0052782E" w:rsidP="005F2E44">
      <w:pPr>
        <w:rPr>
          <w:sz w:val="22"/>
          <w:szCs w:val="22"/>
        </w:rPr>
      </w:pPr>
    </w:p>
    <w:tbl>
      <w:tblPr>
        <w:tblW w:w="14712"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6"/>
        <w:gridCol w:w="7356"/>
      </w:tblGrid>
      <w:tr w:rsidR="00227421" w:rsidRPr="00CC3411" w14:paraId="60DE7217" w14:textId="77777777" w:rsidTr="00756900">
        <w:trPr>
          <w:trHeight w:val="873"/>
        </w:trPr>
        <w:tc>
          <w:tcPr>
            <w:tcW w:w="147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0B9321" w14:textId="77777777" w:rsidR="00227421" w:rsidRPr="0052782E" w:rsidRDefault="00E47620" w:rsidP="00CC3411">
            <w:pPr>
              <w:rPr>
                <w:rFonts w:ascii="Arial" w:hAnsi="Arial" w:cs="Arial"/>
                <w:b/>
                <w:sz w:val="22"/>
                <w:szCs w:val="22"/>
              </w:rPr>
            </w:pPr>
            <w:r w:rsidRPr="0052782E">
              <w:rPr>
                <w:rFonts w:ascii="Arial" w:hAnsi="Arial" w:cs="Arial"/>
                <w:b/>
                <w:sz w:val="22"/>
                <w:szCs w:val="22"/>
              </w:rPr>
              <w:t>Version</w:t>
            </w:r>
            <w:r w:rsidR="007C4128" w:rsidRPr="0052782E">
              <w:rPr>
                <w:rFonts w:ascii="Arial" w:hAnsi="Arial" w:cs="Arial"/>
                <w:b/>
                <w:sz w:val="22"/>
                <w:szCs w:val="22"/>
              </w:rPr>
              <w:t xml:space="preserve"> </w:t>
            </w:r>
            <w:r w:rsidR="00043576" w:rsidRPr="0052782E">
              <w:rPr>
                <w:rFonts w:ascii="Arial" w:hAnsi="Arial" w:cs="Arial"/>
                <w:b/>
                <w:sz w:val="22"/>
                <w:szCs w:val="22"/>
              </w:rPr>
              <w:t>0.</w:t>
            </w:r>
            <w:r w:rsidR="00517B5E" w:rsidRPr="0052782E">
              <w:rPr>
                <w:rFonts w:ascii="Arial" w:hAnsi="Arial" w:cs="Arial"/>
                <w:b/>
                <w:sz w:val="22"/>
                <w:szCs w:val="22"/>
              </w:rPr>
              <w:t>1</w:t>
            </w:r>
            <w:r w:rsidRPr="0052782E">
              <w:rPr>
                <w:rFonts w:ascii="Arial" w:hAnsi="Arial" w:cs="Arial"/>
                <w:b/>
                <w:sz w:val="22"/>
                <w:szCs w:val="22"/>
              </w:rPr>
              <w:t xml:space="preserve"> </w:t>
            </w:r>
            <w:r w:rsidR="00517B5E" w:rsidRPr="0052782E">
              <w:rPr>
                <w:rFonts w:ascii="Arial" w:hAnsi="Arial" w:cs="Arial"/>
                <w:b/>
                <w:sz w:val="22"/>
                <w:szCs w:val="22"/>
              </w:rPr>
              <w:t>–</w:t>
            </w:r>
            <w:r w:rsidRPr="0052782E">
              <w:rPr>
                <w:rFonts w:ascii="Arial" w:hAnsi="Arial" w:cs="Arial"/>
                <w:b/>
                <w:sz w:val="22"/>
                <w:szCs w:val="22"/>
              </w:rPr>
              <w:t xml:space="preserve"> </w:t>
            </w:r>
            <w:r w:rsidR="004B4461" w:rsidRPr="0052782E">
              <w:rPr>
                <w:rFonts w:ascii="Arial" w:hAnsi="Arial" w:cs="Arial"/>
                <w:b/>
                <w:sz w:val="22"/>
                <w:szCs w:val="22"/>
              </w:rPr>
              <w:t>Draft</w:t>
            </w:r>
          </w:p>
          <w:p w14:paraId="295299AE" w14:textId="5623F65A" w:rsidR="00517B5E" w:rsidRPr="00CC3411" w:rsidRDefault="00A90DB5" w:rsidP="00CC3411">
            <w:pPr>
              <w:rPr>
                <w:rFonts w:ascii="Arial" w:hAnsi="Arial" w:cs="Arial"/>
                <w:sz w:val="22"/>
                <w:szCs w:val="22"/>
              </w:rPr>
            </w:pPr>
            <w:r>
              <w:rPr>
                <w:rFonts w:ascii="Arial" w:hAnsi="Arial" w:cs="Arial"/>
                <w:sz w:val="22"/>
                <w:szCs w:val="22"/>
              </w:rPr>
              <w:t>Amalgamation of existing CCG policies to form one draft ICB policy</w:t>
            </w:r>
            <w:r w:rsidR="001F7353">
              <w:rPr>
                <w:rFonts w:ascii="Arial" w:hAnsi="Arial" w:cs="Arial"/>
                <w:sz w:val="22"/>
                <w:szCs w:val="22"/>
              </w:rPr>
              <w:t xml:space="preserve"> </w:t>
            </w:r>
            <w:r w:rsidR="002214E0">
              <w:rPr>
                <w:rFonts w:ascii="Arial" w:hAnsi="Arial" w:cs="Arial"/>
                <w:sz w:val="22"/>
                <w:szCs w:val="22"/>
              </w:rPr>
              <w:t xml:space="preserve">identifying </w:t>
            </w:r>
            <w:r w:rsidR="001F7353">
              <w:rPr>
                <w:rFonts w:ascii="Arial" w:hAnsi="Arial" w:cs="Arial"/>
                <w:sz w:val="22"/>
                <w:szCs w:val="22"/>
              </w:rPr>
              <w:t>variation</w:t>
            </w:r>
            <w:r w:rsidR="00474A9F">
              <w:rPr>
                <w:rFonts w:ascii="Arial" w:hAnsi="Arial" w:cs="Arial"/>
                <w:sz w:val="22"/>
                <w:szCs w:val="22"/>
              </w:rPr>
              <w:t xml:space="preserve"> </w:t>
            </w:r>
            <w:r w:rsidR="001569AA">
              <w:rPr>
                <w:rFonts w:ascii="Arial" w:hAnsi="Arial" w:cs="Arial"/>
                <w:sz w:val="22"/>
                <w:szCs w:val="22"/>
              </w:rPr>
              <w:t>for review</w:t>
            </w:r>
          </w:p>
        </w:tc>
      </w:tr>
      <w:tr w:rsidR="0066451D" w:rsidRPr="00CC3411" w14:paraId="5167E8E3" w14:textId="77777777" w:rsidTr="0052782E">
        <w:trPr>
          <w:trHeight w:val="699"/>
        </w:trPr>
        <w:tc>
          <w:tcPr>
            <w:tcW w:w="14712" w:type="dxa"/>
            <w:gridSpan w:val="2"/>
            <w:tcBorders>
              <w:top w:val="single" w:sz="6" w:space="0" w:color="auto"/>
              <w:left w:val="single" w:sz="6" w:space="0" w:color="auto"/>
              <w:bottom w:val="nil"/>
              <w:right w:val="single" w:sz="6" w:space="0" w:color="auto"/>
            </w:tcBorders>
            <w:shd w:val="clear" w:color="auto" w:fill="auto"/>
            <w:vAlign w:val="center"/>
          </w:tcPr>
          <w:p w14:paraId="6F480F3A" w14:textId="77777777" w:rsidR="0066451D" w:rsidRPr="0052782E" w:rsidRDefault="0066451D" w:rsidP="0066451D">
            <w:pPr>
              <w:rPr>
                <w:rFonts w:ascii="Arial" w:hAnsi="Arial" w:cs="Arial"/>
                <w:b/>
                <w:bCs/>
                <w:sz w:val="22"/>
                <w:szCs w:val="22"/>
              </w:rPr>
            </w:pPr>
            <w:r w:rsidRPr="0052782E">
              <w:rPr>
                <w:rFonts w:ascii="Arial" w:hAnsi="Arial" w:cs="Arial"/>
                <w:b/>
                <w:bCs/>
                <w:sz w:val="22"/>
                <w:szCs w:val="22"/>
              </w:rPr>
              <w:t>Version 0.2 – January 2024 - Draft</w:t>
            </w:r>
          </w:p>
          <w:p w14:paraId="2D69DD9F" w14:textId="106ECA8F" w:rsidR="0066451D" w:rsidRDefault="0066451D" w:rsidP="0066451D">
            <w:pPr>
              <w:pStyle w:val="ListParagraph"/>
              <w:ind w:left="1"/>
              <w:rPr>
                <w:rFonts w:ascii="Arial" w:hAnsi="Arial" w:cs="Arial"/>
                <w:sz w:val="22"/>
                <w:szCs w:val="22"/>
              </w:rPr>
            </w:pPr>
            <w:r>
              <w:rPr>
                <w:rFonts w:ascii="Arial" w:hAnsi="Arial" w:cs="Arial"/>
                <w:sz w:val="22"/>
                <w:szCs w:val="22"/>
              </w:rPr>
              <w:t>Review and update of policy reducing variation in alignment with evidence-base and commissioning priorities updating and adding clarity, specifically:</w:t>
            </w:r>
          </w:p>
        </w:tc>
      </w:tr>
      <w:tr w:rsidR="00227421" w:rsidRPr="00CC3411" w14:paraId="6F95F7A4" w14:textId="77777777" w:rsidTr="0052782E">
        <w:trPr>
          <w:trHeight w:val="300"/>
        </w:trPr>
        <w:tc>
          <w:tcPr>
            <w:tcW w:w="7356" w:type="dxa"/>
            <w:tcBorders>
              <w:top w:val="nil"/>
              <w:left w:val="single" w:sz="6" w:space="0" w:color="auto"/>
              <w:bottom w:val="single" w:sz="6" w:space="0" w:color="auto"/>
              <w:right w:val="nil"/>
            </w:tcBorders>
            <w:shd w:val="clear" w:color="auto" w:fill="auto"/>
          </w:tcPr>
          <w:p w14:paraId="5F3FE1CA" w14:textId="42850C52"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Inclusion of an Interim policy position statement</w:t>
            </w:r>
          </w:p>
          <w:p w14:paraId="78A7532C" w14:textId="43403443"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Introduction</w:t>
            </w:r>
          </w:p>
          <w:p w14:paraId="7D4080F7" w14:textId="77E42948"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 xml:space="preserve">Eligibility general principles </w:t>
            </w:r>
          </w:p>
          <w:p w14:paraId="3258FC6F" w14:textId="0802B75B"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Definition of subfertility, timing of access to treatment and age range</w:t>
            </w:r>
          </w:p>
          <w:p w14:paraId="03F446C7" w14:textId="2FE65509"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Definition of childlessness</w:t>
            </w:r>
          </w:p>
          <w:p w14:paraId="2FA232BB" w14:textId="447B6BD4"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Same sex couples and single women eligibility criteria</w:t>
            </w:r>
          </w:p>
          <w:p w14:paraId="3F923CC9" w14:textId="51B93C15"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Surrogacy</w:t>
            </w:r>
          </w:p>
          <w:p w14:paraId="0FA44E08" w14:textId="318A7C5D"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Treatment following reversal of sterilisation</w:t>
            </w:r>
          </w:p>
          <w:p w14:paraId="2EA5EA8F" w14:textId="6D9C45F7"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Female and Male Body Mass Index (BMI)</w:t>
            </w:r>
          </w:p>
          <w:p w14:paraId="4EE48F70" w14:textId="729B70D2"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Female and Male Smoking status</w:t>
            </w:r>
          </w:p>
          <w:p w14:paraId="5FD85248" w14:textId="143F7FB4"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Femail and Male Drugs and Alcohol intake</w:t>
            </w:r>
          </w:p>
          <w:p w14:paraId="054C92A2" w14:textId="77777777"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Intra-uterine insemination (IUI)/Donor Insemination (DI)</w:t>
            </w:r>
          </w:p>
          <w:p w14:paraId="65A20599" w14:textId="77777777" w:rsidR="0052782E" w:rsidRDefault="0052782E" w:rsidP="0052782E">
            <w:pPr>
              <w:pStyle w:val="ListParagraph"/>
              <w:numPr>
                <w:ilvl w:val="0"/>
                <w:numId w:val="20"/>
              </w:numPr>
              <w:rPr>
                <w:rFonts w:ascii="Arial" w:hAnsi="Arial" w:cs="Arial"/>
                <w:sz w:val="22"/>
                <w:szCs w:val="22"/>
              </w:rPr>
            </w:pPr>
            <w:r>
              <w:rPr>
                <w:rFonts w:ascii="Arial" w:hAnsi="Arial" w:cs="Arial"/>
                <w:sz w:val="22"/>
                <w:szCs w:val="22"/>
              </w:rPr>
              <w:t>IVF definition and number of cycles</w:t>
            </w:r>
          </w:p>
          <w:p w14:paraId="2ABA80C9" w14:textId="1F8FBD43" w:rsidR="002C684B" w:rsidRDefault="0052782E" w:rsidP="0052782E">
            <w:pPr>
              <w:pStyle w:val="ListParagraph"/>
              <w:numPr>
                <w:ilvl w:val="0"/>
                <w:numId w:val="20"/>
              </w:numPr>
              <w:rPr>
                <w:rFonts w:ascii="Arial" w:hAnsi="Arial" w:cs="Arial"/>
                <w:sz w:val="22"/>
                <w:szCs w:val="22"/>
              </w:rPr>
            </w:pPr>
            <w:r>
              <w:rPr>
                <w:rFonts w:ascii="Arial" w:hAnsi="Arial" w:cs="Arial"/>
                <w:sz w:val="22"/>
                <w:szCs w:val="22"/>
              </w:rPr>
              <w:t xml:space="preserve">Number of IVF cycles </w:t>
            </w:r>
          </w:p>
        </w:tc>
        <w:tc>
          <w:tcPr>
            <w:tcW w:w="7356" w:type="dxa"/>
            <w:tcBorders>
              <w:top w:val="nil"/>
              <w:left w:val="nil"/>
              <w:bottom w:val="single" w:sz="6" w:space="0" w:color="auto"/>
              <w:right w:val="single" w:sz="6" w:space="0" w:color="auto"/>
            </w:tcBorders>
            <w:shd w:val="clear" w:color="auto" w:fill="auto"/>
          </w:tcPr>
          <w:p w14:paraId="36A9765E" w14:textId="77777777" w:rsidR="0052782E" w:rsidRDefault="0052782E" w:rsidP="0052782E">
            <w:pPr>
              <w:pStyle w:val="ListParagraph"/>
              <w:numPr>
                <w:ilvl w:val="0"/>
                <w:numId w:val="20"/>
              </w:numPr>
              <w:rPr>
                <w:rFonts w:ascii="Arial" w:hAnsi="Arial" w:cs="Arial"/>
                <w:sz w:val="22"/>
                <w:szCs w:val="22"/>
              </w:rPr>
            </w:pPr>
            <w:r>
              <w:rPr>
                <w:rFonts w:ascii="Arial" w:hAnsi="Arial" w:cs="Arial"/>
                <w:sz w:val="22"/>
                <w:szCs w:val="22"/>
              </w:rPr>
              <w:t xml:space="preserve">Cancelled and abandoned cycles definition </w:t>
            </w:r>
          </w:p>
          <w:p w14:paraId="486693F5" w14:textId="6CBA5412"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Handling of existing frozen embryos from previously funded cycles</w:t>
            </w:r>
          </w:p>
          <w:p w14:paraId="336DD7C4" w14:textId="483B7C4A"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Number of transferred embryos</w:t>
            </w:r>
          </w:p>
          <w:p w14:paraId="5D2638DE" w14:textId="4878593F"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Ovarian reserve testing</w:t>
            </w:r>
          </w:p>
          <w:p w14:paraId="31CD8FC6" w14:textId="6E751383"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Surgical retrieval of sperm</w:t>
            </w:r>
          </w:p>
          <w:p w14:paraId="0BF2D46E" w14:textId="078EAA8B"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Oocyte (egg) donation</w:t>
            </w:r>
          </w:p>
          <w:p w14:paraId="0AA4937A" w14:textId="14F26037"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Donor insemination/Oocyte (egg) sharing and donation</w:t>
            </w:r>
          </w:p>
          <w:p w14:paraId="7FA2D017" w14:textId="77777777"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Storage and cryopreservation of embryos, oocytes (eggs) and semen</w:t>
            </w:r>
          </w:p>
          <w:p w14:paraId="1131813B" w14:textId="1AF7E9CE"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Pre-Implantation Genetic Diagnosis</w:t>
            </w:r>
          </w:p>
          <w:p w14:paraId="7F7CC49D" w14:textId="3B6C0705"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Anti-Viral Transmission (e.g. HIV and HEP B)</w:t>
            </w:r>
          </w:p>
          <w:p w14:paraId="12FD52E9" w14:textId="0A9EBA49" w:rsidR="002C684B" w:rsidRDefault="002C684B" w:rsidP="0052782E">
            <w:pPr>
              <w:pStyle w:val="ListParagraph"/>
              <w:numPr>
                <w:ilvl w:val="0"/>
                <w:numId w:val="20"/>
              </w:numPr>
              <w:rPr>
                <w:rFonts w:ascii="Arial" w:hAnsi="Arial" w:cs="Arial"/>
                <w:sz w:val="22"/>
                <w:szCs w:val="22"/>
              </w:rPr>
            </w:pPr>
            <w:r>
              <w:rPr>
                <w:rFonts w:ascii="Arial" w:hAnsi="Arial" w:cs="Arial"/>
                <w:sz w:val="22"/>
                <w:szCs w:val="22"/>
              </w:rPr>
              <w:t>Cryopreservation</w:t>
            </w:r>
          </w:p>
          <w:p w14:paraId="5F62E271" w14:textId="545BC9D4" w:rsidR="00ED01FB" w:rsidRPr="00ED01FB" w:rsidRDefault="002C684B" w:rsidP="0052782E">
            <w:pPr>
              <w:pStyle w:val="ListParagraph"/>
              <w:numPr>
                <w:ilvl w:val="0"/>
                <w:numId w:val="20"/>
              </w:numPr>
              <w:rPr>
                <w:rFonts w:ascii="Arial" w:hAnsi="Arial" w:cs="Arial"/>
                <w:sz w:val="22"/>
                <w:szCs w:val="22"/>
              </w:rPr>
            </w:pPr>
            <w:r>
              <w:rPr>
                <w:rFonts w:ascii="Arial" w:hAnsi="Arial" w:cs="Arial"/>
                <w:sz w:val="22"/>
                <w:szCs w:val="22"/>
              </w:rPr>
              <w:t>Check, update and correction of hyperlinks</w:t>
            </w:r>
          </w:p>
        </w:tc>
      </w:tr>
      <w:tr w:rsidR="00CC3411" w:rsidRPr="00CC3411" w14:paraId="509138B7" w14:textId="77777777" w:rsidTr="00756900">
        <w:trPr>
          <w:trHeight w:val="763"/>
        </w:trPr>
        <w:tc>
          <w:tcPr>
            <w:tcW w:w="1471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756C4F" w14:textId="77777777" w:rsidR="00CC3411" w:rsidRPr="0052782E" w:rsidRDefault="00CC3411" w:rsidP="00CC3411">
            <w:pPr>
              <w:rPr>
                <w:rFonts w:ascii="Arial" w:hAnsi="Arial" w:cs="Arial"/>
                <w:b/>
                <w:bCs/>
                <w:sz w:val="22"/>
                <w:szCs w:val="22"/>
              </w:rPr>
            </w:pPr>
            <w:r w:rsidRPr="00CC3411">
              <w:rPr>
                <w:rFonts w:ascii="Arial" w:hAnsi="Arial" w:cs="Arial"/>
                <w:b/>
                <w:sz w:val="22"/>
                <w:szCs w:val="22"/>
              </w:rPr>
              <w:t>Version</w:t>
            </w:r>
            <w:r w:rsidR="001A5CC5" w:rsidRPr="0052782E">
              <w:rPr>
                <w:rFonts w:ascii="Arial" w:hAnsi="Arial" w:cs="Arial"/>
                <w:b/>
                <w:sz w:val="22"/>
                <w:szCs w:val="22"/>
              </w:rPr>
              <w:t xml:space="preserve"> </w:t>
            </w:r>
            <w:r w:rsidR="00D51BD3" w:rsidRPr="0052782E">
              <w:rPr>
                <w:rFonts w:ascii="Arial" w:hAnsi="Arial" w:cs="Arial"/>
                <w:b/>
                <w:bCs/>
                <w:sz w:val="22"/>
                <w:szCs w:val="22"/>
              </w:rPr>
              <w:t>0.3</w:t>
            </w:r>
            <w:r w:rsidR="001A5CC5" w:rsidRPr="00CC3411">
              <w:rPr>
                <w:rFonts w:ascii="Arial" w:hAnsi="Arial" w:cs="Arial"/>
                <w:b/>
                <w:bCs/>
                <w:sz w:val="22"/>
                <w:szCs w:val="22"/>
              </w:rPr>
              <w:t xml:space="preserve"> </w:t>
            </w:r>
            <w:r w:rsidR="001A5CC5" w:rsidRPr="0052782E">
              <w:rPr>
                <w:rFonts w:ascii="Arial" w:hAnsi="Arial" w:cs="Arial"/>
                <w:b/>
                <w:bCs/>
                <w:sz w:val="22"/>
                <w:szCs w:val="22"/>
              </w:rPr>
              <w:t xml:space="preserve">– </w:t>
            </w:r>
            <w:r w:rsidR="00B67048" w:rsidRPr="0052782E">
              <w:rPr>
                <w:rFonts w:ascii="Arial" w:hAnsi="Arial" w:cs="Arial"/>
                <w:b/>
                <w:bCs/>
                <w:sz w:val="22"/>
                <w:szCs w:val="22"/>
              </w:rPr>
              <w:t xml:space="preserve">March </w:t>
            </w:r>
            <w:r w:rsidR="00F37B1B" w:rsidRPr="0052782E">
              <w:rPr>
                <w:rFonts w:ascii="Arial" w:hAnsi="Arial" w:cs="Arial"/>
                <w:b/>
                <w:bCs/>
                <w:sz w:val="22"/>
                <w:szCs w:val="22"/>
              </w:rPr>
              <w:t>2024 -</w:t>
            </w:r>
            <w:r w:rsidR="001A5CC5" w:rsidRPr="0052782E">
              <w:rPr>
                <w:rFonts w:ascii="Arial" w:hAnsi="Arial" w:cs="Arial"/>
                <w:b/>
                <w:sz w:val="22"/>
                <w:szCs w:val="22"/>
              </w:rPr>
              <w:t xml:space="preserve"> </w:t>
            </w:r>
            <w:r w:rsidRPr="00CC3411">
              <w:rPr>
                <w:rFonts w:ascii="Arial" w:hAnsi="Arial" w:cs="Arial"/>
                <w:b/>
                <w:sz w:val="22"/>
                <w:szCs w:val="22"/>
              </w:rPr>
              <w:t>Draft </w:t>
            </w:r>
          </w:p>
          <w:p w14:paraId="61DCD463" w14:textId="3F1E6F29" w:rsidR="00952519" w:rsidRPr="00410D74" w:rsidRDefault="005C2C6A" w:rsidP="00410D74">
            <w:pPr>
              <w:pStyle w:val="ListParagraph"/>
              <w:numPr>
                <w:ilvl w:val="0"/>
                <w:numId w:val="22"/>
              </w:numPr>
              <w:rPr>
                <w:rFonts w:ascii="Arial" w:hAnsi="Arial" w:cs="Arial"/>
                <w:sz w:val="22"/>
                <w:szCs w:val="22"/>
              </w:rPr>
            </w:pPr>
            <w:r w:rsidRPr="00410D74">
              <w:rPr>
                <w:rFonts w:ascii="Arial" w:hAnsi="Arial" w:cs="Arial"/>
                <w:sz w:val="22"/>
                <w:szCs w:val="22"/>
              </w:rPr>
              <w:t xml:space="preserve">Further </w:t>
            </w:r>
            <w:r w:rsidR="00F94F96" w:rsidRPr="00410D74">
              <w:rPr>
                <w:rFonts w:ascii="Arial" w:hAnsi="Arial" w:cs="Arial"/>
                <w:sz w:val="22"/>
                <w:szCs w:val="22"/>
              </w:rPr>
              <w:t>a</w:t>
            </w:r>
            <w:r w:rsidR="00CF72F5" w:rsidRPr="00410D74">
              <w:rPr>
                <w:rFonts w:ascii="Arial" w:hAnsi="Arial" w:cs="Arial"/>
                <w:sz w:val="22"/>
                <w:szCs w:val="22"/>
              </w:rPr>
              <w:t xml:space="preserve">mendments </w:t>
            </w:r>
            <w:r w:rsidR="00923F2B" w:rsidRPr="00410D74">
              <w:rPr>
                <w:rFonts w:ascii="Arial" w:hAnsi="Arial" w:cs="Arial"/>
                <w:sz w:val="22"/>
                <w:szCs w:val="22"/>
              </w:rPr>
              <w:t xml:space="preserve">to add clarity </w:t>
            </w:r>
            <w:r w:rsidR="00F37B1B" w:rsidRPr="00410D74">
              <w:rPr>
                <w:rFonts w:ascii="Arial" w:hAnsi="Arial" w:cs="Arial"/>
                <w:sz w:val="22"/>
                <w:szCs w:val="22"/>
              </w:rPr>
              <w:t xml:space="preserve">following </w:t>
            </w:r>
            <w:r w:rsidR="006E299A" w:rsidRPr="00410D74">
              <w:rPr>
                <w:rFonts w:ascii="Arial" w:hAnsi="Arial" w:cs="Arial"/>
                <w:sz w:val="22"/>
                <w:szCs w:val="22"/>
              </w:rPr>
              <w:t xml:space="preserve">local </w:t>
            </w:r>
            <w:r w:rsidR="00952519" w:rsidRPr="00410D74">
              <w:rPr>
                <w:rFonts w:ascii="Arial" w:hAnsi="Arial" w:cs="Arial"/>
                <w:sz w:val="22"/>
                <w:szCs w:val="22"/>
              </w:rPr>
              <w:t>clinical engagement</w:t>
            </w:r>
          </w:p>
          <w:p w14:paraId="266D7794" w14:textId="07BBE2AE" w:rsidR="00CC3411" w:rsidRPr="00CC3411" w:rsidRDefault="00CC3411" w:rsidP="00CC3411">
            <w:pPr>
              <w:rPr>
                <w:rFonts w:ascii="Arial" w:hAnsi="Arial" w:cs="Arial"/>
                <w:sz w:val="22"/>
                <w:szCs w:val="22"/>
              </w:rPr>
            </w:pPr>
          </w:p>
        </w:tc>
      </w:tr>
      <w:tr w:rsidR="00CC3411" w:rsidRPr="00CC3411" w14:paraId="3264AE02" w14:textId="77777777" w:rsidTr="00756900">
        <w:trPr>
          <w:trHeight w:val="1129"/>
        </w:trPr>
        <w:tc>
          <w:tcPr>
            <w:tcW w:w="1471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8CD144" w14:textId="72B27F0F" w:rsidR="00CC3411" w:rsidRPr="0052782E" w:rsidRDefault="00CC3411" w:rsidP="00CC3411">
            <w:pPr>
              <w:rPr>
                <w:rFonts w:ascii="Arial" w:hAnsi="Arial" w:cs="Arial"/>
                <w:b/>
                <w:bCs/>
                <w:sz w:val="22"/>
                <w:szCs w:val="22"/>
              </w:rPr>
            </w:pPr>
            <w:r w:rsidRPr="00CC3411">
              <w:rPr>
                <w:rFonts w:ascii="Arial" w:hAnsi="Arial" w:cs="Arial"/>
                <w:b/>
                <w:sz w:val="22"/>
                <w:szCs w:val="22"/>
              </w:rPr>
              <w:t xml:space="preserve">Version </w:t>
            </w:r>
            <w:r w:rsidR="00491A36" w:rsidRPr="0052782E">
              <w:rPr>
                <w:rFonts w:ascii="Arial" w:hAnsi="Arial" w:cs="Arial"/>
                <w:b/>
                <w:bCs/>
                <w:sz w:val="22"/>
                <w:szCs w:val="22"/>
              </w:rPr>
              <w:t xml:space="preserve">0.4 </w:t>
            </w:r>
            <w:r w:rsidR="00A4746D" w:rsidRPr="0052782E">
              <w:rPr>
                <w:rFonts w:ascii="Arial" w:hAnsi="Arial" w:cs="Arial"/>
                <w:b/>
                <w:bCs/>
                <w:sz w:val="22"/>
                <w:szCs w:val="22"/>
              </w:rPr>
              <w:t>–</w:t>
            </w:r>
            <w:r w:rsidR="00227421" w:rsidRPr="0052782E">
              <w:rPr>
                <w:rFonts w:ascii="Arial" w:hAnsi="Arial" w:cs="Arial"/>
                <w:b/>
                <w:sz w:val="22"/>
                <w:szCs w:val="22"/>
              </w:rPr>
              <w:t xml:space="preserve"> </w:t>
            </w:r>
            <w:r w:rsidR="00A4746D" w:rsidRPr="0052782E">
              <w:rPr>
                <w:rFonts w:ascii="Arial" w:hAnsi="Arial" w:cs="Arial"/>
                <w:b/>
                <w:sz w:val="22"/>
                <w:szCs w:val="22"/>
              </w:rPr>
              <w:t>January 2024</w:t>
            </w:r>
            <w:r w:rsidRPr="00CC3411">
              <w:rPr>
                <w:rFonts w:ascii="Arial" w:hAnsi="Arial" w:cs="Arial"/>
                <w:b/>
                <w:sz w:val="22"/>
                <w:szCs w:val="22"/>
              </w:rPr>
              <w:t xml:space="preserve"> </w:t>
            </w:r>
            <w:r w:rsidR="00491A36" w:rsidRPr="0052782E">
              <w:rPr>
                <w:rFonts w:ascii="Arial" w:hAnsi="Arial" w:cs="Arial"/>
                <w:b/>
                <w:bCs/>
                <w:sz w:val="22"/>
                <w:szCs w:val="22"/>
              </w:rPr>
              <w:t>–</w:t>
            </w:r>
            <w:r w:rsidRPr="00CC3411">
              <w:rPr>
                <w:rFonts w:ascii="Arial" w:hAnsi="Arial" w:cs="Arial"/>
                <w:b/>
                <w:bCs/>
                <w:sz w:val="22"/>
                <w:szCs w:val="22"/>
              </w:rPr>
              <w:t xml:space="preserve"> </w:t>
            </w:r>
            <w:r w:rsidR="00491A36" w:rsidRPr="0052782E">
              <w:rPr>
                <w:rFonts w:ascii="Arial" w:hAnsi="Arial" w:cs="Arial"/>
                <w:b/>
                <w:bCs/>
                <w:sz w:val="22"/>
                <w:szCs w:val="22"/>
              </w:rPr>
              <w:t>Draft</w:t>
            </w:r>
          </w:p>
          <w:p w14:paraId="0CFB6F77" w14:textId="77777777" w:rsidR="00491A36" w:rsidRPr="00410D74" w:rsidRDefault="006E299A" w:rsidP="00410D74">
            <w:pPr>
              <w:pStyle w:val="ListParagraph"/>
              <w:numPr>
                <w:ilvl w:val="0"/>
                <w:numId w:val="22"/>
              </w:numPr>
              <w:rPr>
                <w:rFonts w:ascii="Arial" w:hAnsi="Arial" w:cs="Arial"/>
                <w:sz w:val="22"/>
                <w:szCs w:val="22"/>
              </w:rPr>
            </w:pPr>
            <w:r w:rsidRPr="00410D74">
              <w:rPr>
                <w:rFonts w:ascii="Arial" w:hAnsi="Arial" w:cs="Arial"/>
                <w:sz w:val="22"/>
                <w:szCs w:val="22"/>
              </w:rPr>
              <w:t xml:space="preserve">Further amendments </w:t>
            </w:r>
            <w:r w:rsidR="00170FBB" w:rsidRPr="00410D74">
              <w:rPr>
                <w:rFonts w:ascii="Arial" w:hAnsi="Arial" w:cs="Arial"/>
                <w:sz w:val="22"/>
                <w:szCs w:val="22"/>
              </w:rPr>
              <w:t xml:space="preserve">to add clarity </w:t>
            </w:r>
            <w:r w:rsidRPr="00410D74">
              <w:rPr>
                <w:rFonts w:ascii="Arial" w:hAnsi="Arial" w:cs="Arial"/>
                <w:sz w:val="22"/>
                <w:szCs w:val="22"/>
              </w:rPr>
              <w:t>following 2</w:t>
            </w:r>
            <w:r w:rsidRPr="00410D74">
              <w:rPr>
                <w:rFonts w:ascii="Arial" w:hAnsi="Arial" w:cs="Arial"/>
                <w:sz w:val="22"/>
                <w:szCs w:val="22"/>
                <w:vertAlign w:val="superscript"/>
              </w:rPr>
              <w:t>nd</w:t>
            </w:r>
            <w:r w:rsidRPr="00410D74">
              <w:rPr>
                <w:rFonts w:ascii="Arial" w:hAnsi="Arial" w:cs="Arial"/>
                <w:sz w:val="22"/>
                <w:szCs w:val="22"/>
              </w:rPr>
              <w:t xml:space="preserve"> </w:t>
            </w:r>
            <w:r w:rsidR="00923F2B" w:rsidRPr="00410D74">
              <w:rPr>
                <w:rFonts w:ascii="Arial" w:hAnsi="Arial" w:cs="Arial"/>
                <w:sz w:val="22"/>
                <w:szCs w:val="22"/>
              </w:rPr>
              <w:t>episode of</w:t>
            </w:r>
            <w:r w:rsidRPr="00410D74">
              <w:rPr>
                <w:rFonts w:ascii="Arial" w:hAnsi="Arial" w:cs="Arial"/>
                <w:sz w:val="22"/>
                <w:szCs w:val="22"/>
              </w:rPr>
              <w:t xml:space="preserve"> </w:t>
            </w:r>
            <w:r w:rsidR="00170FBB" w:rsidRPr="00410D74">
              <w:rPr>
                <w:rFonts w:ascii="Arial" w:hAnsi="Arial" w:cs="Arial"/>
                <w:sz w:val="22"/>
                <w:szCs w:val="22"/>
              </w:rPr>
              <w:t xml:space="preserve">local </w:t>
            </w:r>
            <w:r w:rsidRPr="00410D74">
              <w:rPr>
                <w:rFonts w:ascii="Arial" w:hAnsi="Arial" w:cs="Arial"/>
                <w:sz w:val="22"/>
                <w:szCs w:val="22"/>
              </w:rPr>
              <w:t>clinical engagement</w:t>
            </w:r>
          </w:p>
          <w:p w14:paraId="6E39970D" w14:textId="26F84497" w:rsidR="00CC3411" w:rsidRPr="00CC3411" w:rsidRDefault="00D465D2" w:rsidP="00410D74">
            <w:pPr>
              <w:pStyle w:val="ListParagraph"/>
              <w:numPr>
                <w:ilvl w:val="0"/>
                <w:numId w:val="22"/>
              </w:numPr>
              <w:rPr>
                <w:rFonts w:ascii="Arial" w:hAnsi="Arial" w:cs="Arial"/>
                <w:sz w:val="22"/>
                <w:szCs w:val="22"/>
              </w:rPr>
            </w:pPr>
            <w:r w:rsidRPr="00410D74">
              <w:rPr>
                <w:rFonts w:ascii="Arial" w:hAnsi="Arial" w:cs="Arial"/>
                <w:sz w:val="22"/>
                <w:szCs w:val="22"/>
              </w:rPr>
              <w:t xml:space="preserve">Policy reformatted for ease of </w:t>
            </w:r>
            <w:r w:rsidR="00F41E71" w:rsidRPr="00410D74">
              <w:rPr>
                <w:rFonts w:ascii="Arial" w:hAnsi="Arial" w:cs="Arial"/>
                <w:sz w:val="22"/>
                <w:szCs w:val="22"/>
              </w:rPr>
              <w:t>reference</w:t>
            </w:r>
            <w:r w:rsidR="00410D74">
              <w:rPr>
                <w:rFonts w:ascii="Arial" w:hAnsi="Arial" w:cs="Arial"/>
                <w:sz w:val="22"/>
                <w:szCs w:val="22"/>
              </w:rPr>
              <w:t xml:space="preserve"> and in readiness for wider engagement</w:t>
            </w:r>
          </w:p>
        </w:tc>
      </w:tr>
    </w:tbl>
    <w:p w14:paraId="24C5D1B5" w14:textId="77777777" w:rsidR="00CC3411" w:rsidRDefault="00CC3411" w:rsidP="005F2E44">
      <w:pPr>
        <w:rPr>
          <w:sz w:val="22"/>
          <w:szCs w:val="22"/>
        </w:rPr>
      </w:pPr>
    </w:p>
    <w:p w14:paraId="3FF575A2" w14:textId="77777777" w:rsidR="00CC3411" w:rsidRPr="001C3295" w:rsidRDefault="00CC3411" w:rsidP="005F2E44">
      <w:pPr>
        <w:rPr>
          <w:sz w:val="22"/>
          <w:szCs w:val="22"/>
        </w:rPr>
      </w:pPr>
    </w:p>
    <w:p w14:paraId="0A2850F4" w14:textId="77777777" w:rsidR="005F2E44" w:rsidRDefault="005F2E44" w:rsidP="005F2E44">
      <w:pPr>
        <w:rPr>
          <w:rFonts w:ascii="Arial" w:eastAsiaTheme="minorHAnsi" w:hAnsi="Arial" w:cs="Arial"/>
          <w:sz w:val="40"/>
          <w:szCs w:val="40"/>
          <w:lang w:eastAsia="en-US"/>
        </w:rPr>
      </w:pPr>
    </w:p>
    <w:p w14:paraId="11D07CCF" w14:textId="2071685B" w:rsidR="008622A4" w:rsidRDefault="008622A4"/>
    <w:sectPr w:rsidR="008622A4" w:rsidSect="00793329">
      <w:headerReference w:type="even" r:id="rId30"/>
      <w:headerReference w:type="default" r:id="rId31"/>
      <w:footerReference w:type="default" r:id="rId32"/>
      <w:headerReference w:type="first" r:id="rId33"/>
      <w:footerReference w:type="first" r:id="rId34"/>
      <w:endnotePr>
        <w:numFmt w:val="decimal"/>
      </w:endnotePr>
      <w:pgSz w:w="16838" w:h="11906" w:orient="landscape"/>
      <w:pgMar w:top="1134" w:right="1134" w:bottom="1134" w:left="1276" w:header="709"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C0AE" w14:textId="77777777" w:rsidR="00A614FB" w:rsidRDefault="00A614FB" w:rsidP="005F2E44">
      <w:r>
        <w:separator/>
      </w:r>
    </w:p>
  </w:endnote>
  <w:endnote w:type="continuationSeparator" w:id="0">
    <w:p w14:paraId="5263A4A3" w14:textId="77777777" w:rsidR="00A614FB" w:rsidRDefault="00A614FB" w:rsidP="005F2E44">
      <w:r>
        <w:continuationSeparator/>
      </w:r>
    </w:p>
  </w:endnote>
  <w:endnote w:type="continuationNotice" w:id="1">
    <w:p w14:paraId="1C793980" w14:textId="77777777" w:rsidR="00A614FB" w:rsidRDefault="00A61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Verdana,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gridCol w:w="1843"/>
    </w:tblGrid>
    <w:tr w:rsidR="000850EA" w:rsidRPr="00C176A8" w14:paraId="142D3D6F" w14:textId="77777777" w:rsidTr="000850EA">
      <w:trPr>
        <w:trHeight w:val="709"/>
      </w:trPr>
      <w:tc>
        <w:tcPr>
          <w:tcW w:w="8902" w:type="dxa"/>
        </w:tcPr>
        <w:p w14:paraId="7E058E09" w14:textId="4EA61942" w:rsidR="000850EA" w:rsidRPr="007B3886" w:rsidRDefault="000850EA" w:rsidP="000850EA">
          <w:pPr>
            <w:rPr>
              <w:rFonts w:ascii="Arial" w:hAnsi="Arial" w:cs="Arial"/>
              <w:sz w:val="20"/>
              <w:szCs w:val="20"/>
            </w:rPr>
          </w:pPr>
          <w:r w:rsidRPr="00C176A8">
            <w:rPr>
              <w:rFonts w:ascii="Arial" w:hAnsi="Arial" w:cs="Arial"/>
              <w:sz w:val="20"/>
              <w:szCs w:val="20"/>
            </w:rPr>
            <w:t>CMICB_Clin</w:t>
          </w:r>
          <w:r>
            <w:rPr>
              <w:rFonts w:ascii="Arial" w:hAnsi="Arial" w:cs="Arial"/>
              <w:sz w:val="20"/>
              <w:szCs w:val="20"/>
            </w:rPr>
            <w:t>115</w:t>
          </w:r>
          <w:r w:rsidRPr="00C176A8">
            <w:rPr>
              <w:rFonts w:ascii="Arial" w:hAnsi="Arial" w:cs="Arial"/>
              <w:sz w:val="20"/>
              <w:szCs w:val="20"/>
            </w:rPr>
            <w:t xml:space="preserve"> </w:t>
          </w:r>
          <w:r>
            <w:rPr>
              <w:rFonts w:ascii="Arial" w:hAnsi="Arial" w:cs="Arial"/>
              <w:sz w:val="20"/>
              <w:szCs w:val="20"/>
            </w:rPr>
            <w:t>–</w:t>
          </w:r>
          <w:r w:rsidRPr="00C176A8">
            <w:rPr>
              <w:rFonts w:ascii="Arial" w:hAnsi="Arial" w:cs="Arial"/>
              <w:sz w:val="20"/>
              <w:szCs w:val="20"/>
            </w:rPr>
            <w:t xml:space="preserve"> </w:t>
          </w:r>
          <w:r w:rsidR="006613F0" w:rsidRPr="006613F0">
            <w:rPr>
              <w:rFonts w:ascii="Arial" w:hAnsi="Arial" w:cs="Arial"/>
              <w:sz w:val="20"/>
              <w:szCs w:val="20"/>
            </w:rPr>
            <w:t>NHS funded treatment for subfertility</w:t>
          </w:r>
        </w:p>
        <w:p w14:paraId="21204B7F" w14:textId="2DE06257" w:rsidR="000850EA" w:rsidRPr="00C176A8" w:rsidRDefault="000850EA" w:rsidP="000850EA">
          <w:pPr>
            <w:pStyle w:val="Footer"/>
            <w:rPr>
              <w:rFonts w:ascii="Arial" w:hAnsi="Arial" w:cs="Arial"/>
              <w:sz w:val="20"/>
              <w:szCs w:val="20"/>
            </w:rPr>
          </w:pPr>
          <w:r w:rsidRPr="00C176A8">
            <w:rPr>
              <w:rFonts w:ascii="Arial" w:hAnsi="Arial" w:cs="Arial"/>
              <w:sz w:val="20"/>
              <w:szCs w:val="20"/>
            </w:rPr>
            <w:t xml:space="preserve">Version </w:t>
          </w:r>
          <w:r>
            <w:rPr>
              <w:rFonts w:ascii="Arial" w:hAnsi="Arial" w:cs="Arial"/>
              <w:sz w:val="20"/>
              <w:szCs w:val="20"/>
            </w:rPr>
            <w:t>0.</w:t>
          </w:r>
          <w:r w:rsidR="003B0202">
            <w:rPr>
              <w:rFonts w:ascii="Arial" w:hAnsi="Arial" w:cs="Arial"/>
              <w:sz w:val="20"/>
              <w:szCs w:val="20"/>
            </w:rPr>
            <w:t>4</w:t>
          </w:r>
          <w:r>
            <w:rPr>
              <w:rFonts w:ascii="Arial" w:hAnsi="Arial" w:cs="Arial"/>
              <w:sz w:val="20"/>
              <w:szCs w:val="20"/>
            </w:rPr>
            <w:t xml:space="preserve"> DRAFT</w:t>
          </w:r>
          <w:r w:rsidRPr="00C176A8">
            <w:rPr>
              <w:rFonts w:ascii="Arial" w:hAnsi="Arial" w:cs="Arial"/>
              <w:sz w:val="20"/>
              <w:szCs w:val="20"/>
            </w:rPr>
            <w:t xml:space="preserve">, </w:t>
          </w:r>
          <w:r>
            <w:rPr>
              <w:rFonts w:ascii="Arial" w:hAnsi="Arial" w:cs="Arial"/>
              <w:sz w:val="20"/>
              <w:szCs w:val="20"/>
            </w:rPr>
            <w:t>[Date Published]</w:t>
          </w:r>
        </w:p>
      </w:tc>
      <w:tc>
        <w:tcPr>
          <w:tcW w:w="1843" w:type="dxa"/>
        </w:tcPr>
        <w:p w14:paraId="6EFD06C0" w14:textId="77777777" w:rsidR="000850EA" w:rsidRPr="00C176A8" w:rsidRDefault="000850EA" w:rsidP="000850EA">
          <w:pPr>
            <w:rPr>
              <w:rFonts w:ascii="Arial" w:eastAsia="Arial" w:hAnsi="Arial" w:cs="Arial"/>
              <w:bCs/>
              <w:i/>
              <w:iCs/>
              <w:sz w:val="20"/>
              <w:szCs w:val="20"/>
            </w:rPr>
          </w:pPr>
        </w:p>
        <w:p w14:paraId="4E66146E" w14:textId="77777777" w:rsidR="000850EA" w:rsidRDefault="000850EA" w:rsidP="000850EA">
          <w:pPr>
            <w:jc w:val="right"/>
            <w:rPr>
              <w:rFonts w:ascii="Arial" w:hAnsi="Arial" w:cs="Arial"/>
              <w:sz w:val="20"/>
              <w:szCs w:val="20"/>
            </w:rPr>
          </w:pPr>
        </w:p>
        <w:p w14:paraId="7BF8D5C1" w14:textId="7AE56BD0" w:rsidR="000850EA" w:rsidRPr="00C176A8" w:rsidRDefault="000850EA" w:rsidP="000850EA">
          <w:pPr>
            <w:jc w:val="right"/>
            <w:rPr>
              <w:rFonts w:ascii="Arial" w:eastAsia="Arial" w:hAnsi="Arial" w:cs="Arial"/>
              <w:sz w:val="20"/>
              <w:szCs w:val="20"/>
            </w:rPr>
          </w:pPr>
          <w:r w:rsidRPr="00C176A8">
            <w:rPr>
              <w:rFonts w:ascii="Arial" w:hAnsi="Arial" w:cs="Arial"/>
              <w:sz w:val="20"/>
              <w:szCs w:val="20"/>
            </w:rPr>
            <w:t xml:space="preserve">Page </w:t>
          </w:r>
          <w:r w:rsidRPr="00C176A8">
            <w:rPr>
              <w:rFonts w:ascii="Arial" w:hAnsi="Arial" w:cs="Arial"/>
              <w:b/>
              <w:bCs/>
              <w:sz w:val="20"/>
              <w:szCs w:val="20"/>
            </w:rPr>
            <w:fldChar w:fldCharType="begin"/>
          </w:r>
          <w:r w:rsidRPr="00C176A8">
            <w:rPr>
              <w:rFonts w:ascii="Arial" w:hAnsi="Arial" w:cs="Arial"/>
              <w:b/>
              <w:bCs/>
              <w:sz w:val="20"/>
              <w:szCs w:val="20"/>
            </w:rPr>
            <w:instrText xml:space="preserve"> PAGE  \* Arabic  \* MERGEFORMAT </w:instrText>
          </w:r>
          <w:r w:rsidRPr="00C176A8">
            <w:rPr>
              <w:rFonts w:ascii="Arial" w:hAnsi="Arial" w:cs="Arial"/>
              <w:b/>
              <w:bCs/>
              <w:sz w:val="20"/>
              <w:szCs w:val="20"/>
            </w:rPr>
            <w:fldChar w:fldCharType="separate"/>
          </w:r>
          <w:r>
            <w:rPr>
              <w:rFonts w:ascii="Arial" w:hAnsi="Arial" w:cs="Arial"/>
              <w:b/>
              <w:bCs/>
              <w:sz w:val="20"/>
              <w:szCs w:val="20"/>
            </w:rPr>
            <w:t>2</w:t>
          </w:r>
          <w:r w:rsidRPr="00C176A8">
            <w:rPr>
              <w:rFonts w:ascii="Arial" w:hAnsi="Arial" w:cs="Arial"/>
              <w:b/>
              <w:bCs/>
              <w:sz w:val="20"/>
              <w:szCs w:val="20"/>
            </w:rPr>
            <w:fldChar w:fldCharType="end"/>
          </w:r>
          <w:r w:rsidRPr="00C176A8">
            <w:rPr>
              <w:rFonts w:ascii="Arial" w:hAnsi="Arial" w:cs="Arial"/>
              <w:sz w:val="20"/>
              <w:szCs w:val="20"/>
            </w:rPr>
            <w:t xml:space="preserve"> of </w:t>
          </w:r>
          <w:r w:rsidRPr="00C176A8">
            <w:rPr>
              <w:rFonts w:ascii="Arial" w:hAnsi="Arial" w:cs="Arial"/>
              <w:b/>
              <w:bCs/>
              <w:sz w:val="20"/>
              <w:szCs w:val="20"/>
            </w:rPr>
            <w:fldChar w:fldCharType="begin"/>
          </w:r>
          <w:r w:rsidRPr="00C176A8">
            <w:rPr>
              <w:rFonts w:ascii="Arial" w:hAnsi="Arial" w:cs="Arial"/>
              <w:b/>
              <w:bCs/>
              <w:sz w:val="20"/>
              <w:szCs w:val="20"/>
            </w:rPr>
            <w:instrText xml:space="preserve"> NUMPAGES  \* Arabic  \* MERGEFORMAT </w:instrText>
          </w:r>
          <w:r w:rsidRPr="00C176A8">
            <w:rPr>
              <w:rFonts w:ascii="Arial" w:hAnsi="Arial" w:cs="Arial"/>
              <w:b/>
              <w:bCs/>
              <w:sz w:val="20"/>
              <w:szCs w:val="20"/>
            </w:rPr>
            <w:fldChar w:fldCharType="separate"/>
          </w:r>
          <w:r>
            <w:rPr>
              <w:rFonts w:ascii="Arial" w:hAnsi="Arial" w:cs="Arial"/>
              <w:b/>
              <w:bCs/>
              <w:sz w:val="20"/>
              <w:szCs w:val="20"/>
            </w:rPr>
            <w:t>10</w:t>
          </w:r>
          <w:r w:rsidRPr="00C176A8">
            <w:rPr>
              <w:rFonts w:ascii="Arial" w:hAnsi="Arial" w:cs="Arial"/>
              <w:b/>
              <w:bCs/>
              <w:sz w:val="20"/>
              <w:szCs w:val="20"/>
            </w:rPr>
            <w:fldChar w:fldCharType="end"/>
          </w:r>
        </w:p>
      </w:tc>
    </w:tr>
  </w:tbl>
  <w:p w14:paraId="727B9363" w14:textId="77777777" w:rsidR="000850EA" w:rsidRPr="000850EA" w:rsidRDefault="000850EA" w:rsidP="00CA5AE0">
    <w:pPr>
      <w:pStyle w:val="Footer"/>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1"/>
      <w:gridCol w:w="222"/>
    </w:tblGrid>
    <w:tr w:rsidR="005F2E44" w:rsidRPr="00C176A8" w14:paraId="5EEF9EE4" w14:textId="77777777" w:rsidTr="001C71E6">
      <w:trPr>
        <w:trHeight w:val="340"/>
      </w:trPr>
      <w:tc>
        <w:tcPr>
          <w:tcW w:w="8902" w:type="dxa"/>
        </w:tcPr>
        <w:tbl>
          <w:tblPr>
            <w:tblStyle w:val="TableGrid"/>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gridCol w:w="1843"/>
          </w:tblGrid>
          <w:tr w:rsidR="005F2E44" w:rsidRPr="00C176A8" w14:paraId="3770EFF6" w14:textId="77777777" w:rsidTr="001C71E6">
            <w:trPr>
              <w:trHeight w:val="340"/>
            </w:trPr>
            <w:tc>
              <w:tcPr>
                <w:tcW w:w="8902" w:type="dxa"/>
              </w:tcPr>
              <w:p w14:paraId="67351A19" w14:textId="36BB3292" w:rsidR="005F2E44" w:rsidRPr="007B3886" w:rsidRDefault="005F2E44" w:rsidP="001C71E6">
                <w:pPr>
                  <w:rPr>
                    <w:rFonts w:ascii="Arial" w:hAnsi="Arial" w:cs="Arial"/>
                    <w:sz w:val="20"/>
                    <w:szCs w:val="20"/>
                  </w:rPr>
                </w:pPr>
                <w:r w:rsidRPr="00C176A8">
                  <w:rPr>
                    <w:rFonts w:ascii="Arial" w:hAnsi="Arial" w:cs="Arial"/>
                    <w:sz w:val="20"/>
                    <w:szCs w:val="20"/>
                  </w:rPr>
                  <w:t>CMICB_Clin</w:t>
                </w:r>
                <w:r>
                  <w:rPr>
                    <w:rFonts w:ascii="Arial" w:hAnsi="Arial" w:cs="Arial"/>
                    <w:sz w:val="20"/>
                    <w:szCs w:val="20"/>
                  </w:rPr>
                  <w:t>11</w:t>
                </w:r>
                <w:r w:rsidR="00CA5AE0">
                  <w:rPr>
                    <w:rFonts w:ascii="Arial" w:hAnsi="Arial" w:cs="Arial"/>
                    <w:sz w:val="20"/>
                    <w:szCs w:val="20"/>
                  </w:rPr>
                  <w:t>5</w:t>
                </w:r>
                <w:r w:rsidRPr="00C176A8">
                  <w:rPr>
                    <w:rFonts w:ascii="Arial" w:hAnsi="Arial" w:cs="Arial"/>
                    <w:sz w:val="20"/>
                    <w:szCs w:val="20"/>
                  </w:rPr>
                  <w:t xml:space="preserve"> </w:t>
                </w:r>
                <w:r>
                  <w:rPr>
                    <w:rFonts w:ascii="Arial" w:hAnsi="Arial" w:cs="Arial"/>
                    <w:sz w:val="20"/>
                    <w:szCs w:val="20"/>
                  </w:rPr>
                  <w:t>–</w:t>
                </w:r>
                <w:r w:rsidR="00BC17D3">
                  <w:rPr>
                    <w:rFonts w:ascii="Arial" w:hAnsi="Arial" w:cs="Arial"/>
                    <w:sz w:val="20"/>
                    <w:szCs w:val="20"/>
                  </w:rPr>
                  <w:t xml:space="preserve"> </w:t>
                </w:r>
                <w:r w:rsidR="007A71B7">
                  <w:rPr>
                    <w:rFonts w:ascii="Arial" w:hAnsi="Arial" w:cs="Arial"/>
                    <w:sz w:val="20"/>
                    <w:szCs w:val="20"/>
                  </w:rPr>
                  <w:t>Medical</w:t>
                </w:r>
                <w:r w:rsidR="008B5692">
                  <w:rPr>
                    <w:rFonts w:ascii="Arial" w:hAnsi="Arial" w:cs="Arial"/>
                    <w:sz w:val="20"/>
                    <w:szCs w:val="20"/>
                  </w:rPr>
                  <w:t xml:space="preserve"> Assisted Reproduction (MAR)</w:t>
                </w:r>
                <w:r w:rsidR="00BC17D3">
                  <w:rPr>
                    <w:rFonts w:ascii="Arial" w:hAnsi="Arial" w:cs="Arial"/>
                    <w:sz w:val="20"/>
                    <w:szCs w:val="20"/>
                  </w:rPr>
                  <w:t xml:space="preserve"> </w:t>
                </w:r>
                <w:r w:rsidR="00E274AF">
                  <w:rPr>
                    <w:rFonts w:ascii="Arial" w:hAnsi="Arial" w:cs="Arial"/>
                    <w:sz w:val="20"/>
                    <w:szCs w:val="20"/>
                  </w:rPr>
                  <w:t xml:space="preserve">treatments </w:t>
                </w:r>
                <w:r w:rsidR="00BC17D3">
                  <w:rPr>
                    <w:rFonts w:ascii="Arial" w:hAnsi="Arial" w:cs="Arial"/>
                    <w:sz w:val="20"/>
                    <w:szCs w:val="20"/>
                  </w:rPr>
                  <w:t xml:space="preserve">for </w:t>
                </w:r>
                <w:r w:rsidR="00282A0D">
                  <w:rPr>
                    <w:rFonts w:ascii="Arial" w:hAnsi="Arial" w:cs="Arial"/>
                    <w:sz w:val="20"/>
                    <w:szCs w:val="20"/>
                  </w:rPr>
                  <w:t xml:space="preserve">patients with </w:t>
                </w:r>
                <w:r w:rsidR="00BC17D3">
                  <w:rPr>
                    <w:rFonts w:ascii="Arial" w:hAnsi="Arial" w:cs="Arial"/>
                    <w:sz w:val="20"/>
                    <w:szCs w:val="20"/>
                  </w:rPr>
                  <w:t>subfertility</w:t>
                </w:r>
              </w:p>
              <w:p w14:paraId="7B371602" w14:textId="64386577" w:rsidR="005F2E44" w:rsidRPr="00C176A8" w:rsidRDefault="005F2E44" w:rsidP="001C71E6">
                <w:pPr>
                  <w:pStyle w:val="Footer"/>
                  <w:rPr>
                    <w:rFonts w:ascii="Arial" w:hAnsi="Arial" w:cs="Arial"/>
                    <w:sz w:val="20"/>
                    <w:szCs w:val="20"/>
                  </w:rPr>
                </w:pPr>
                <w:r w:rsidRPr="00C176A8">
                  <w:rPr>
                    <w:rFonts w:ascii="Arial" w:hAnsi="Arial" w:cs="Arial"/>
                    <w:sz w:val="20"/>
                    <w:szCs w:val="20"/>
                  </w:rPr>
                  <w:t xml:space="preserve">Version </w:t>
                </w:r>
                <w:r>
                  <w:rPr>
                    <w:rFonts w:ascii="Arial" w:hAnsi="Arial" w:cs="Arial"/>
                    <w:sz w:val="20"/>
                    <w:szCs w:val="20"/>
                  </w:rPr>
                  <w:t>0.</w:t>
                </w:r>
                <w:r w:rsidR="00BC17D3">
                  <w:rPr>
                    <w:rFonts w:ascii="Arial" w:hAnsi="Arial" w:cs="Arial"/>
                    <w:sz w:val="20"/>
                    <w:szCs w:val="20"/>
                  </w:rPr>
                  <w:t>4</w:t>
                </w:r>
                <w:r>
                  <w:rPr>
                    <w:rFonts w:ascii="Arial" w:hAnsi="Arial" w:cs="Arial"/>
                    <w:sz w:val="20"/>
                    <w:szCs w:val="20"/>
                  </w:rPr>
                  <w:t xml:space="preserve"> DRAFT</w:t>
                </w:r>
                <w:r w:rsidRPr="00C176A8">
                  <w:rPr>
                    <w:rFonts w:ascii="Arial" w:hAnsi="Arial" w:cs="Arial"/>
                    <w:sz w:val="20"/>
                    <w:szCs w:val="20"/>
                  </w:rPr>
                  <w:t xml:space="preserve">, </w:t>
                </w:r>
                <w:r>
                  <w:rPr>
                    <w:rFonts w:ascii="Arial" w:hAnsi="Arial" w:cs="Arial"/>
                    <w:sz w:val="20"/>
                    <w:szCs w:val="20"/>
                  </w:rPr>
                  <w:t>[Date Published]</w:t>
                </w:r>
              </w:p>
            </w:tc>
            <w:tc>
              <w:tcPr>
                <w:tcW w:w="1843" w:type="dxa"/>
              </w:tcPr>
              <w:p w14:paraId="0B543E45" w14:textId="77777777" w:rsidR="005F2E44" w:rsidRPr="00C176A8" w:rsidRDefault="005F2E44" w:rsidP="001C71E6">
                <w:pPr>
                  <w:rPr>
                    <w:rFonts w:ascii="Arial" w:eastAsia="Arial" w:hAnsi="Arial" w:cs="Arial"/>
                    <w:bCs/>
                    <w:i/>
                    <w:iCs/>
                    <w:sz w:val="20"/>
                    <w:szCs w:val="20"/>
                  </w:rPr>
                </w:pPr>
              </w:p>
              <w:p w14:paraId="39E59424" w14:textId="77777777" w:rsidR="005F2E44" w:rsidRPr="00C176A8" w:rsidRDefault="005F2E44" w:rsidP="001C71E6">
                <w:pPr>
                  <w:jc w:val="right"/>
                  <w:rPr>
                    <w:rFonts w:ascii="Arial" w:eastAsia="Arial" w:hAnsi="Arial" w:cs="Arial"/>
                    <w:sz w:val="20"/>
                    <w:szCs w:val="20"/>
                  </w:rPr>
                </w:pPr>
                <w:r w:rsidRPr="00C176A8">
                  <w:rPr>
                    <w:rFonts w:ascii="Arial" w:hAnsi="Arial" w:cs="Arial"/>
                    <w:sz w:val="20"/>
                    <w:szCs w:val="20"/>
                  </w:rPr>
                  <w:t xml:space="preserve">Page </w:t>
                </w:r>
                <w:r w:rsidRPr="00C176A8">
                  <w:rPr>
                    <w:rFonts w:ascii="Arial" w:hAnsi="Arial" w:cs="Arial"/>
                    <w:b/>
                    <w:bCs/>
                    <w:sz w:val="20"/>
                    <w:szCs w:val="20"/>
                  </w:rPr>
                  <w:fldChar w:fldCharType="begin"/>
                </w:r>
                <w:r w:rsidRPr="00C176A8">
                  <w:rPr>
                    <w:rFonts w:ascii="Arial" w:hAnsi="Arial" w:cs="Arial"/>
                    <w:b/>
                    <w:bCs/>
                    <w:sz w:val="20"/>
                    <w:szCs w:val="20"/>
                  </w:rPr>
                  <w:instrText xml:space="preserve"> PAGE  \* Arabic  \* MERGEFORMAT </w:instrText>
                </w:r>
                <w:r w:rsidRPr="00C176A8">
                  <w:rPr>
                    <w:rFonts w:ascii="Arial" w:hAnsi="Arial" w:cs="Arial"/>
                    <w:b/>
                    <w:bCs/>
                    <w:sz w:val="20"/>
                    <w:szCs w:val="20"/>
                  </w:rPr>
                  <w:fldChar w:fldCharType="separate"/>
                </w:r>
                <w:r>
                  <w:rPr>
                    <w:rFonts w:ascii="Arial" w:hAnsi="Arial" w:cs="Arial"/>
                    <w:b/>
                    <w:bCs/>
                    <w:sz w:val="20"/>
                    <w:szCs w:val="20"/>
                  </w:rPr>
                  <w:t>2</w:t>
                </w:r>
                <w:r w:rsidRPr="00C176A8">
                  <w:rPr>
                    <w:rFonts w:ascii="Arial" w:hAnsi="Arial" w:cs="Arial"/>
                    <w:b/>
                    <w:bCs/>
                    <w:sz w:val="20"/>
                    <w:szCs w:val="20"/>
                  </w:rPr>
                  <w:fldChar w:fldCharType="end"/>
                </w:r>
                <w:r w:rsidRPr="00C176A8">
                  <w:rPr>
                    <w:rFonts w:ascii="Arial" w:hAnsi="Arial" w:cs="Arial"/>
                    <w:sz w:val="20"/>
                    <w:szCs w:val="20"/>
                  </w:rPr>
                  <w:t xml:space="preserve"> of </w:t>
                </w:r>
                <w:r w:rsidRPr="00C176A8">
                  <w:rPr>
                    <w:rFonts w:ascii="Arial" w:hAnsi="Arial" w:cs="Arial"/>
                    <w:b/>
                    <w:bCs/>
                    <w:sz w:val="20"/>
                    <w:szCs w:val="20"/>
                  </w:rPr>
                  <w:fldChar w:fldCharType="begin"/>
                </w:r>
                <w:r w:rsidRPr="00C176A8">
                  <w:rPr>
                    <w:rFonts w:ascii="Arial" w:hAnsi="Arial" w:cs="Arial"/>
                    <w:b/>
                    <w:bCs/>
                    <w:sz w:val="20"/>
                    <w:szCs w:val="20"/>
                  </w:rPr>
                  <w:instrText xml:space="preserve"> NUMPAGES  \* Arabic  \* MERGEFORMAT </w:instrText>
                </w:r>
                <w:r w:rsidRPr="00C176A8">
                  <w:rPr>
                    <w:rFonts w:ascii="Arial" w:hAnsi="Arial" w:cs="Arial"/>
                    <w:b/>
                    <w:bCs/>
                    <w:sz w:val="20"/>
                    <w:szCs w:val="20"/>
                  </w:rPr>
                  <w:fldChar w:fldCharType="separate"/>
                </w:r>
                <w:r>
                  <w:rPr>
                    <w:rFonts w:ascii="Arial" w:hAnsi="Arial" w:cs="Arial"/>
                    <w:b/>
                    <w:bCs/>
                    <w:sz w:val="20"/>
                    <w:szCs w:val="20"/>
                  </w:rPr>
                  <w:t>10</w:t>
                </w:r>
                <w:r w:rsidRPr="00C176A8">
                  <w:rPr>
                    <w:rFonts w:ascii="Arial" w:hAnsi="Arial" w:cs="Arial"/>
                    <w:b/>
                    <w:bCs/>
                    <w:sz w:val="20"/>
                    <w:szCs w:val="20"/>
                  </w:rPr>
                  <w:fldChar w:fldCharType="end"/>
                </w:r>
              </w:p>
            </w:tc>
          </w:tr>
        </w:tbl>
        <w:p w14:paraId="02B283C4" w14:textId="77777777" w:rsidR="005F2E44" w:rsidRPr="00C176A8" w:rsidRDefault="005F2E44" w:rsidP="001C71E6">
          <w:pPr>
            <w:pStyle w:val="Footer"/>
            <w:rPr>
              <w:rFonts w:ascii="Arial" w:hAnsi="Arial" w:cs="Arial"/>
              <w:sz w:val="20"/>
              <w:szCs w:val="20"/>
            </w:rPr>
          </w:pPr>
        </w:p>
      </w:tc>
      <w:tc>
        <w:tcPr>
          <w:tcW w:w="1843" w:type="dxa"/>
        </w:tcPr>
        <w:p w14:paraId="1575B00D" w14:textId="77777777" w:rsidR="005F2E44" w:rsidRPr="00C176A8" w:rsidRDefault="005F2E44" w:rsidP="001C71E6">
          <w:pPr>
            <w:jc w:val="right"/>
            <w:rPr>
              <w:rFonts w:ascii="Arial" w:eastAsia="Arial" w:hAnsi="Arial" w:cs="Arial"/>
              <w:sz w:val="20"/>
              <w:szCs w:val="20"/>
            </w:rPr>
          </w:pPr>
        </w:p>
      </w:tc>
    </w:tr>
  </w:tbl>
  <w:p w14:paraId="29AF7C34" w14:textId="77777777" w:rsidR="005F2E44" w:rsidRPr="00016F66" w:rsidRDefault="005F2E4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2"/>
      <w:gridCol w:w="1843"/>
    </w:tblGrid>
    <w:tr w:rsidR="00320B29" w:rsidRPr="00C176A8" w14:paraId="5D7C262A" w14:textId="77777777" w:rsidTr="000850EA">
      <w:trPr>
        <w:trHeight w:val="709"/>
      </w:trPr>
      <w:tc>
        <w:tcPr>
          <w:tcW w:w="8902" w:type="dxa"/>
        </w:tcPr>
        <w:p w14:paraId="6C8955F2" w14:textId="3ABDD57A" w:rsidR="00320B29" w:rsidRPr="007B3886" w:rsidRDefault="00320B29" w:rsidP="000850EA">
          <w:pPr>
            <w:rPr>
              <w:rFonts w:ascii="Arial" w:hAnsi="Arial" w:cs="Arial"/>
              <w:sz w:val="20"/>
              <w:szCs w:val="20"/>
            </w:rPr>
          </w:pPr>
          <w:r w:rsidRPr="00C176A8">
            <w:rPr>
              <w:rFonts w:ascii="Arial" w:hAnsi="Arial" w:cs="Arial"/>
              <w:sz w:val="20"/>
              <w:szCs w:val="20"/>
            </w:rPr>
            <w:t>CMICB_Clin</w:t>
          </w:r>
          <w:r>
            <w:rPr>
              <w:rFonts w:ascii="Arial" w:hAnsi="Arial" w:cs="Arial"/>
              <w:sz w:val="20"/>
              <w:szCs w:val="20"/>
            </w:rPr>
            <w:t>115</w:t>
          </w:r>
          <w:r w:rsidRPr="00C176A8">
            <w:rPr>
              <w:rFonts w:ascii="Arial" w:hAnsi="Arial" w:cs="Arial"/>
              <w:sz w:val="20"/>
              <w:szCs w:val="20"/>
            </w:rPr>
            <w:t xml:space="preserve"> </w:t>
          </w:r>
          <w:r>
            <w:rPr>
              <w:rFonts w:ascii="Arial" w:hAnsi="Arial" w:cs="Arial"/>
              <w:sz w:val="20"/>
              <w:szCs w:val="20"/>
            </w:rPr>
            <w:t>–</w:t>
          </w:r>
          <w:r w:rsidRPr="00C176A8">
            <w:rPr>
              <w:rFonts w:ascii="Arial" w:hAnsi="Arial" w:cs="Arial"/>
              <w:sz w:val="20"/>
              <w:szCs w:val="20"/>
            </w:rPr>
            <w:t xml:space="preserve"> </w:t>
          </w:r>
          <w:r w:rsidR="006613F0" w:rsidRPr="006613F0">
            <w:rPr>
              <w:rFonts w:ascii="Arial" w:hAnsi="Arial" w:cs="Arial"/>
              <w:sz w:val="20"/>
              <w:szCs w:val="20"/>
            </w:rPr>
            <w:t>NHS funded treatment for subfertility</w:t>
          </w:r>
        </w:p>
        <w:p w14:paraId="6BB32471" w14:textId="47111CC1" w:rsidR="00320B29" w:rsidRPr="00C176A8" w:rsidRDefault="00320B29" w:rsidP="000850EA">
          <w:pPr>
            <w:pStyle w:val="Footer"/>
            <w:rPr>
              <w:rFonts w:ascii="Arial" w:hAnsi="Arial" w:cs="Arial"/>
              <w:sz w:val="20"/>
              <w:szCs w:val="20"/>
            </w:rPr>
          </w:pPr>
          <w:r w:rsidRPr="00C176A8">
            <w:rPr>
              <w:rFonts w:ascii="Arial" w:hAnsi="Arial" w:cs="Arial"/>
              <w:sz w:val="20"/>
              <w:szCs w:val="20"/>
            </w:rPr>
            <w:t xml:space="preserve">Version </w:t>
          </w:r>
          <w:r>
            <w:rPr>
              <w:rFonts w:ascii="Arial" w:hAnsi="Arial" w:cs="Arial"/>
              <w:sz w:val="20"/>
              <w:szCs w:val="20"/>
            </w:rPr>
            <w:t>0.</w:t>
          </w:r>
          <w:r w:rsidR="003B0202">
            <w:rPr>
              <w:rFonts w:ascii="Arial" w:hAnsi="Arial" w:cs="Arial"/>
              <w:sz w:val="20"/>
              <w:szCs w:val="20"/>
            </w:rPr>
            <w:t>4</w:t>
          </w:r>
          <w:r>
            <w:rPr>
              <w:rFonts w:ascii="Arial" w:hAnsi="Arial" w:cs="Arial"/>
              <w:sz w:val="20"/>
              <w:szCs w:val="20"/>
            </w:rPr>
            <w:t xml:space="preserve"> DRAFT</w:t>
          </w:r>
          <w:r w:rsidRPr="00C176A8">
            <w:rPr>
              <w:rFonts w:ascii="Arial" w:hAnsi="Arial" w:cs="Arial"/>
              <w:sz w:val="20"/>
              <w:szCs w:val="20"/>
            </w:rPr>
            <w:t xml:space="preserve">, </w:t>
          </w:r>
          <w:r>
            <w:rPr>
              <w:rFonts w:ascii="Arial" w:hAnsi="Arial" w:cs="Arial"/>
              <w:sz w:val="20"/>
              <w:szCs w:val="20"/>
            </w:rPr>
            <w:t>[Date Published]</w:t>
          </w:r>
        </w:p>
      </w:tc>
      <w:tc>
        <w:tcPr>
          <w:tcW w:w="1843" w:type="dxa"/>
        </w:tcPr>
        <w:p w14:paraId="5289E2E2" w14:textId="77777777" w:rsidR="00320B29" w:rsidRPr="00C176A8" w:rsidRDefault="00320B29" w:rsidP="000850EA">
          <w:pPr>
            <w:rPr>
              <w:rFonts w:ascii="Arial" w:eastAsia="Arial" w:hAnsi="Arial" w:cs="Arial"/>
              <w:bCs/>
              <w:i/>
              <w:iCs/>
              <w:sz w:val="20"/>
              <w:szCs w:val="20"/>
            </w:rPr>
          </w:pPr>
        </w:p>
        <w:p w14:paraId="0ED1DE3B" w14:textId="77777777" w:rsidR="00320B29" w:rsidRDefault="00320B29" w:rsidP="000850EA">
          <w:pPr>
            <w:jc w:val="right"/>
            <w:rPr>
              <w:rFonts w:ascii="Arial" w:hAnsi="Arial" w:cs="Arial"/>
              <w:sz w:val="20"/>
              <w:szCs w:val="20"/>
            </w:rPr>
          </w:pPr>
        </w:p>
        <w:p w14:paraId="24474704" w14:textId="77777777" w:rsidR="00320B29" w:rsidRPr="00C176A8" w:rsidRDefault="00320B29" w:rsidP="000850EA">
          <w:pPr>
            <w:jc w:val="right"/>
            <w:rPr>
              <w:rFonts w:ascii="Arial" w:eastAsia="Arial" w:hAnsi="Arial" w:cs="Arial"/>
              <w:sz w:val="20"/>
              <w:szCs w:val="20"/>
            </w:rPr>
          </w:pPr>
          <w:r w:rsidRPr="00C176A8">
            <w:rPr>
              <w:rFonts w:ascii="Arial" w:hAnsi="Arial" w:cs="Arial"/>
              <w:sz w:val="20"/>
              <w:szCs w:val="20"/>
            </w:rPr>
            <w:t xml:space="preserve">Page </w:t>
          </w:r>
          <w:r w:rsidRPr="00C176A8">
            <w:rPr>
              <w:rFonts w:ascii="Arial" w:hAnsi="Arial" w:cs="Arial"/>
              <w:b/>
              <w:bCs/>
              <w:sz w:val="20"/>
              <w:szCs w:val="20"/>
            </w:rPr>
            <w:fldChar w:fldCharType="begin"/>
          </w:r>
          <w:r w:rsidRPr="00C176A8">
            <w:rPr>
              <w:rFonts w:ascii="Arial" w:hAnsi="Arial" w:cs="Arial"/>
              <w:b/>
              <w:bCs/>
              <w:sz w:val="20"/>
              <w:szCs w:val="20"/>
            </w:rPr>
            <w:instrText xml:space="preserve"> PAGE  \* Arabic  \* MERGEFORMAT </w:instrText>
          </w:r>
          <w:r w:rsidRPr="00C176A8">
            <w:rPr>
              <w:rFonts w:ascii="Arial" w:hAnsi="Arial" w:cs="Arial"/>
              <w:b/>
              <w:bCs/>
              <w:sz w:val="20"/>
              <w:szCs w:val="20"/>
            </w:rPr>
            <w:fldChar w:fldCharType="separate"/>
          </w:r>
          <w:r>
            <w:rPr>
              <w:rFonts w:ascii="Arial" w:hAnsi="Arial" w:cs="Arial"/>
              <w:b/>
              <w:bCs/>
              <w:sz w:val="20"/>
              <w:szCs w:val="20"/>
            </w:rPr>
            <w:t>2</w:t>
          </w:r>
          <w:r w:rsidRPr="00C176A8">
            <w:rPr>
              <w:rFonts w:ascii="Arial" w:hAnsi="Arial" w:cs="Arial"/>
              <w:b/>
              <w:bCs/>
              <w:sz w:val="20"/>
              <w:szCs w:val="20"/>
            </w:rPr>
            <w:fldChar w:fldCharType="end"/>
          </w:r>
          <w:r w:rsidRPr="00C176A8">
            <w:rPr>
              <w:rFonts w:ascii="Arial" w:hAnsi="Arial" w:cs="Arial"/>
              <w:sz w:val="20"/>
              <w:szCs w:val="20"/>
            </w:rPr>
            <w:t xml:space="preserve"> of </w:t>
          </w:r>
          <w:r w:rsidRPr="00C176A8">
            <w:rPr>
              <w:rFonts w:ascii="Arial" w:hAnsi="Arial" w:cs="Arial"/>
              <w:b/>
              <w:bCs/>
              <w:sz w:val="20"/>
              <w:szCs w:val="20"/>
            </w:rPr>
            <w:fldChar w:fldCharType="begin"/>
          </w:r>
          <w:r w:rsidRPr="00C176A8">
            <w:rPr>
              <w:rFonts w:ascii="Arial" w:hAnsi="Arial" w:cs="Arial"/>
              <w:b/>
              <w:bCs/>
              <w:sz w:val="20"/>
              <w:szCs w:val="20"/>
            </w:rPr>
            <w:instrText xml:space="preserve"> NUMPAGES  \* Arabic  \* MERGEFORMAT </w:instrText>
          </w:r>
          <w:r w:rsidRPr="00C176A8">
            <w:rPr>
              <w:rFonts w:ascii="Arial" w:hAnsi="Arial" w:cs="Arial"/>
              <w:b/>
              <w:bCs/>
              <w:sz w:val="20"/>
              <w:szCs w:val="20"/>
            </w:rPr>
            <w:fldChar w:fldCharType="separate"/>
          </w:r>
          <w:r>
            <w:rPr>
              <w:rFonts w:ascii="Arial" w:hAnsi="Arial" w:cs="Arial"/>
              <w:b/>
              <w:bCs/>
              <w:sz w:val="20"/>
              <w:szCs w:val="20"/>
            </w:rPr>
            <w:t>10</w:t>
          </w:r>
          <w:r w:rsidRPr="00C176A8">
            <w:rPr>
              <w:rFonts w:ascii="Arial" w:hAnsi="Arial" w:cs="Arial"/>
              <w:b/>
              <w:bCs/>
              <w:sz w:val="20"/>
              <w:szCs w:val="20"/>
            </w:rPr>
            <w:fldChar w:fldCharType="end"/>
          </w:r>
        </w:p>
      </w:tc>
    </w:tr>
  </w:tbl>
  <w:p w14:paraId="7ED0FE8F" w14:textId="77777777" w:rsidR="00320B29" w:rsidRPr="000850EA" w:rsidRDefault="00320B29" w:rsidP="00CA5AE0">
    <w:pPr>
      <w:pStyle w:val="Footer"/>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31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5"/>
      <w:gridCol w:w="222"/>
    </w:tblGrid>
    <w:tr w:rsidR="001C71E6" w:rsidRPr="00C176A8" w14:paraId="4A1AB3B6" w14:textId="77777777" w:rsidTr="001C71E6">
      <w:trPr>
        <w:trHeight w:val="340"/>
      </w:trPr>
      <w:tc>
        <w:tcPr>
          <w:tcW w:w="8902" w:type="dxa"/>
        </w:tcPr>
        <w:tbl>
          <w:tblPr>
            <w:tblStyle w:val="TableGrid"/>
            <w:tblW w:w="15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1"/>
            <w:gridCol w:w="1878"/>
          </w:tblGrid>
          <w:tr w:rsidR="001C71E6" w:rsidRPr="00C176A8" w14:paraId="36BA2ECF" w14:textId="77777777" w:rsidTr="00E274AF">
            <w:trPr>
              <w:trHeight w:val="340"/>
            </w:trPr>
            <w:tc>
              <w:tcPr>
                <w:tcW w:w="13471" w:type="dxa"/>
              </w:tcPr>
              <w:p w14:paraId="7E5A0DA5" w14:textId="1DC3C93A" w:rsidR="005F2E44" w:rsidRPr="007B3886" w:rsidRDefault="005F2E44" w:rsidP="001C71E6">
                <w:pPr>
                  <w:rPr>
                    <w:rFonts w:ascii="Arial" w:hAnsi="Arial" w:cs="Arial"/>
                    <w:sz w:val="20"/>
                    <w:szCs w:val="20"/>
                  </w:rPr>
                </w:pPr>
                <w:r w:rsidRPr="00C176A8">
                  <w:rPr>
                    <w:rFonts w:ascii="Arial" w:hAnsi="Arial" w:cs="Arial"/>
                    <w:sz w:val="20"/>
                    <w:szCs w:val="20"/>
                  </w:rPr>
                  <w:t>CMICB_Clin</w:t>
                </w:r>
                <w:r>
                  <w:rPr>
                    <w:rFonts w:ascii="Arial" w:hAnsi="Arial" w:cs="Arial"/>
                    <w:sz w:val="20"/>
                    <w:szCs w:val="20"/>
                  </w:rPr>
                  <w:t>11</w:t>
                </w:r>
                <w:r w:rsidR="00F50E17">
                  <w:rPr>
                    <w:rFonts w:ascii="Arial" w:hAnsi="Arial" w:cs="Arial"/>
                    <w:sz w:val="20"/>
                    <w:szCs w:val="20"/>
                  </w:rPr>
                  <w:t>5</w:t>
                </w:r>
                <w:r w:rsidRPr="00C176A8">
                  <w:rPr>
                    <w:rFonts w:ascii="Arial" w:hAnsi="Arial" w:cs="Arial"/>
                    <w:sz w:val="20"/>
                    <w:szCs w:val="20"/>
                  </w:rPr>
                  <w:t xml:space="preserve"> </w:t>
                </w:r>
                <w:r>
                  <w:rPr>
                    <w:rFonts w:ascii="Arial" w:hAnsi="Arial" w:cs="Arial"/>
                    <w:sz w:val="20"/>
                    <w:szCs w:val="20"/>
                  </w:rPr>
                  <w:t>–</w:t>
                </w:r>
                <w:r w:rsidRPr="00C176A8">
                  <w:rPr>
                    <w:rFonts w:ascii="Arial" w:hAnsi="Arial" w:cs="Arial"/>
                    <w:sz w:val="20"/>
                    <w:szCs w:val="20"/>
                  </w:rPr>
                  <w:t xml:space="preserve"> </w:t>
                </w:r>
                <w:r w:rsidR="006613F0" w:rsidRPr="006613F0">
                  <w:rPr>
                    <w:rFonts w:ascii="Arial" w:hAnsi="Arial" w:cs="Arial"/>
                    <w:sz w:val="20"/>
                    <w:szCs w:val="20"/>
                  </w:rPr>
                  <w:t>NHS funded treatment for subfertility</w:t>
                </w:r>
              </w:p>
              <w:p w14:paraId="5FCA716B" w14:textId="00CF1DC7" w:rsidR="005F2E44" w:rsidRPr="00C176A8" w:rsidRDefault="005F2E44" w:rsidP="001C71E6">
                <w:pPr>
                  <w:pStyle w:val="Footer"/>
                  <w:rPr>
                    <w:rFonts w:ascii="Arial" w:hAnsi="Arial" w:cs="Arial"/>
                    <w:sz w:val="20"/>
                    <w:szCs w:val="20"/>
                  </w:rPr>
                </w:pPr>
                <w:r w:rsidRPr="00C176A8">
                  <w:rPr>
                    <w:rFonts w:ascii="Arial" w:hAnsi="Arial" w:cs="Arial"/>
                    <w:sz w:val="20"/>
                    <w:szCs w:val="20"/>
                  </w:rPr>
                  <w:t xml:space="preserve">Version </w:t>
                </w:r>
                <w:r>
                  <w:rPr>
                    <w:rFonts w:ascii="Arial" w:hAnsi="Arial" w:cs="Arial"/>
                    <w:sz w:val="20"/>
                    <w:szCs w:val="20"/>
                  </w:rPr>
                  <w:t>0.</w:t>
                </w:r>
                <w:r w:rsidR="003B0202">
                  <w:rPr>
                    <w:rFonts w:ascii="Arial" w:hAnsi="Arial" w:cs="Arial"/>
                    <w:sz w:val="20"/>
                    <w:szCs w:val="20"/>
                  </w:rPr>
                  <w:t>4</w:t>
                </w:r>
                <w:r>
                  <w:rPr>
                    <w:rFonts w:ascii="Arial" w:hAnsi="Arial" w:cs="Arial"/>
                    <w:sz w:val="20"/>
                    <w:szCs w:val="20"/>
                  </w:rPr>
                  <w:t xml:space="preserve"> DRAFT</w:t>
                </w:r>
                <w:r w:rsidRPr="00C176A8">
                  <w:rPr>
                    <w:rFonts w:ascii="Arial" w:hAnsi="Arial" w:cs="Arial"/>
                    <w:sz w:val="20"/>
                    <w:szCs w:val="20"/>
                  </w:rPr>
                  <w:t xml:space="preserve">, </w:t>
                </w:r>
                <w:r>
                  <w:rPr>
                    <w:rFonts w:ascii="Arial" w:hAnsi="Arial" w:cs="Arial"/>
                    <w:sz w:val="20"/>
                    <w:szCs w:val="20"/>
                  </w:rPr>
                  <w:t>[Date Published]</w:t>
                </w:r>
              </w:p>
            </w:tc>
            <w:tc>
              <w:tcPr>
                <w:tcW w:w="1878" w:type="dxa"/>
              </w:tcPr>
              <w:p w14:paraId="746E0716" w14:textId="77777777" w:rsidR="005F2E44" w:rsidRPr="00C176A8" w:rsidRDefault="005F2E44" w:rsidP="001C71E6">
                <w:pPr>
                  <w:rPr>
                    <w:rFonts w:ascii="Arial" w:eastAsia="Arial" w:hAnsi="Arial" w:cs="Arial"/>
                    <w:bCs/>
                    <w:i/>
                    <w:iCs/>
                    <w:sz w:val="20"/>
                    <w:szCs w:val="20"/>
                  </w:rPr>
                </w:pPr>
              </w:p>
              <w:p w14:paraId="3C12C271" w14:textId="77777777" w:rsidR="005F2E44" w:rsidRPr="00C176A8" w:rsidRDefault="005F2E44" w:rsidP="001C71E6">
                <w:pPr>
                  <w:jc w:val="right"/>
                  <w:rPr>
                    <w:rFonts w:ascii="Arial" w:eastAsia="Arial" w:hAnsi="Arial" w:cs="Arial"/>
                    <w:sz w:val="20"/>
                    <w:szCs w:val="20"/>
                  </w:rPr>
                </w:pPr>
                <w:r w:rsidRPr="00C176A8">
                  <w:rPr>
                    <w:rFonts w:ascii="Arial" w:hAnsi="Arial" w:cs="Arial"/>
                    <w:sz w:val="20"/>
                    <w:szCs w:val="20"/>
                  </w:rPr>
                  <w:t xml:space="preserve">Page </w:t>
                </w:r>
                <w:r w:rsidRPr="00C176A8">
                  <w:rPr>
                    <w:rFonts w:ascii="Arial" w:hAnsi="Arial" w:cs="Arial"/>
                    <w:b/>
                    <w:bCs/>
                    <w:sz w:val="20"/>
                    <w:szCs w:val="20"/>
                  </w:rPr>
                  <w:fldChar w:fldCharType="begin"/>
                </w:r>
                <w:r w:rsidRPr="00C176A8">
                  <w:rPr>
                    <w:rFonts w:ascii="Arial" w:hAnsi="Arial" w:cs="Arial"/>
                    <w:b/>
                    <w:bCs/>
                    <w:sz w:val="20"/>
                    <w:szCs w:val="20"/>
                  </w:rPr>
                  <w:instrText xml:space="preserve"> PAGE  \* Arabic  \* MERGEFORMAT </w:instrText>
                </w:r>
                <w:r w:rsidRPr="00C176A8">
                  <w:rPr>
                    <w:rFonts w:ascii="Arial" w:hAnsi="Arial" w:cs="Arial"/>
                    <w:b/>
                    <w:bCs/>
                    <w:sz w:val="20"/>
                    <w:szCs w:val="20"/>
                  </w:rPr>
                  <w:fldChar w:fldCharType="separate"/>
                </w:r>
                <w:r>
                  <w:rPr>
                    <w:rFonts w:ascii="Arial" w:hAnsi="Arial" w:cs="Arial"/>
                    <w:b/>
                    <w:bCs/>
                    <w:sz w:val="20"/>
                    <w:szCs w:val="20"/>
                  </w:rPr>
                  <w:t>2</w:t>
                </w:r>
                <w:r w:rsidRPr="00C176A8">
                  <w:rPr>
                    <w:rFonts w:ascii="Arial" w:hAnsi="Arial" w:cs="Arial"/>
                    <w:b/>
                    <w:bCs/>
                    <w:sz w:val="20"/>
                    <w:szCs w:val="20"/>
                  </w:rPr>
                  <w:fldChar w:fldCharType="end"/>
                </w:r>
                <w:r w:rsidRPr="00C176A8">
                  <w:rPr>
                    <w:rFonts w:ascii="Arial" w:hAnsi="Arial" w:cs="Arial"/>
                    <w:sz w:val="20"/>
                    <w:szCs w:val="20"/>
                  </w:rPr>
                  <w:t xml:space="preserve"> of </w:t>
                </w:r>
                <w:r w:rsidRPr="00C176A8">
                  <w:rPr>
                    <w:rFonts w:ascii="Arial" w:hAnsi="Arial" w:cs="Arial"/>
                    <w:b/>
                    <w:bCs/>
                    <w:sz w:val="20"/>
                    <w:szCs w:val="20"/>
                  </w:rPr>
                  <w:fldChar w:fldCharType="begin"/>
                </w:r>
                <w:r w:rsidRPr="00C176A8">
                  <w:rPr>
                    <w:rFonts w:ascii="Arial" w:hAnsi="Arial" w:cs="Arial"/>
                    <w:b/>
                    <w:bCs/>
                    <w:sz w:val="20"/>
                    <w:szCs w:val="20"/>
                  </w:rPr>
                  <w:instrText xml:space="preserve"> NUMPAGES  \* Arabic  \* MERGEFORMAT </w:instrText>
                </w:r>
                <w:r w:rsidRPr="00C176A8">
                  <w:rPr>
                    <w:rFonts w:ascii="Arial" w:hAnsi="Arial" w:cs="Arial"/>
                    <w:b/>
                    <w:bCs/>
                    <w:sz w:val="20"/>
                    <w:szCs w:val="20"/>
                  </w:rPr>
                  <w:fldChar w:fldCharType="separate"/>
                </w:r>
                <w:r>
                  <w:rPr>
                    <w:rFonts w:ascii="Arial" w:hAnsi="Arial" w:cs="Arial"/>
                    <w:b/>
                    <w:bCs/>
                    <w:sz w:val="20"/>
                    <w:szCs w:val="20"/>
                  </w:rPr>
                  <w:t>10</w:t>
                </w:r>
                <w:r w:rsidRPr="00C176A8">
                  <w:rPr>
                    <w:rFonts w:ascii="Arial" w:hAnsi="Arial" w:cs="Arial"/>
                    <w:b/>
                    <w:bCs/>
                    <w:sz w:val="20"/>
                    <w:szCs w:val="20"/>
                  </w:rPr>
                  <w:fldChar w:fldCharType="end"/>
                </w:r>
              </w:p>
            </w:tc>
          </w:tr>
        </w:tbl>
        <w:p w14:paraId="1FA29929" w14:textId="77777777" w:rsidR="005F2E44" w:rsidRPr="00C176A8" w:rsidRDefault="005F2E44" w:rsidP="001C71E6">
          <w:pPr>
            <w:pStyle w:val="Footer"/>
            <w:rPr>
              <w:rFonts w:ascii="Arial" w:hAnsi="Arial" w:cs="Arial"/>
              <w:sz w:val="20"/>
              <w:szCs w:val="20"/>
            </w:rPr>
          </w:pPr>
        </w:p>
      </w:tc>
      <w:tc>
        <w:tcPr>
          <w:tcW w:w="6412" w:type="dxa"/>
        </w:tcPr>
        <w:p w14:paraId="3BDA8B31" w14:textId="77777777" w:rsidR="005F2E44" w:rsidRPr="00C176A8" w:rsidRDefault="005F2E44" w:rsidP="001C71E6">
          <w:pPr>
            <w:jc w:val="right"/>
            <w:rPr>
              <w:rFonts w:ascii="Arial" w:eastAsia="Arial" w:hAnsi="Arial" w:cs="Arial"/>
              <w:sz w:val="20"/>
              <w:szCs w:val="20"/>
            </w:rPr>
          </w:pPr>
        </w:p>
      </w:tc>
    </w:tr>
  </w:tbl>
  <w:p w14:paraId="7D6D2FF2" w14:textId="77777777" w:rsidR="005F2E44" w:rsidRPr="009A10C7" w:rsidRDefault="005F2E44" w:rsidP="001C71E6">
    <w:pPr>
      <w:pStyle w:val="Footer"/>
      <w:ind w:right="36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31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2"/>
      <w:gridCol w:w="222"/>
    </w:tblGrid>
    <w:tr w:rsidR="001C71E6" w:rsidRPr="00C176A8" w14:paraId="22C68B04" w14:textId="77777777" w:rsidTr="001C71E6">
      <w:trPr>
        <w:trHeight w:val="340"/>
      </w:trPr>
      <w:tc>
        <w:tcPr>
          <w:tcW w:w="8902" w:type="dxa"/>
        </w:tcPr>
        <w:tbl>
          <w:tblPr>
            <w:tblStyle w:val="TableGrid"/>
            <w:tblW w:w="15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9"/>
            <w:gridCol w:w="1737"/>
          </w:tblGrid>
          <w:tr w:rsidR="001C71E6" w:rsidRPr="00C176A8" w14:paraId="2FF47B3A" w14:textId="77777777" w:rsidTr="00E274AF">
            <w:trPr>
              <w:trHeight w:val="340"/>
            </w:trPr>
            <w:tc>
              <w:tcPr>
                <w:tcW w:w="13329" w:type="dxa"/>
              </w:tcPr>
              <w:p w14:paraId="7117A744" w14:textId="05131F30" w:rsidR="005F2E44" w:rsidRPr="007B3886" w:rsidRDefault="005F2E44" w:rsidP="001C71E6">
                <w:pPr>
                  <w:rPr>
                    <w:rFonts w:ascii="Arial" w:hAnsi="Arial" w:cs="Arial"/>
                    <w:sz w:val="20"/>
                    <w:szCs w:val="20"/>
                  </w:rPr>
                </w:pPr>
                <w:r w:rsidRPr="00C176A8">
                  <w:rPr>
                    <w:rFonts w:ascii="Arial" w:hAnsi="Arial" w:cs="Arial"/>
                    <w:sz w:val="20"/>
                    <w:szCs w:val="20"/>
                  </w:rPr>
                  <w:t>CMICB_Clin</w:t>
                </w:r>
                <w:r>
                  <w:rPr>
                    <w:rFonts w:ascii="Arial" w:hAnsi="Arial" w:cs="Arial"/>
                    <w:sz w:val="20"/>
                    <w:szCs w:val="20"/>
                  </w:rPr>
                  <w:t>11</w:t>
                </w:r>
                <w:r w:rsidR="00F50E17">
                  <w:rPr>
                    <w:rFonts w:ascii="Arial" w:hAnsi="Arial" w:cs="Arial"/>
                    <w:sz w:val="20"/>
                    <w:szCs w:val="20"/>
                  </w:rPr>
                  <w:t>5</w:t>
                </w:r>
                <w:r w:rsidRPr="00C176A8">
                  <w:rPr>
                    <w:rFonts w:ascii="Arial" w:hAnsi="Arial" w:cs="Arial"/>
                    <w:sz w:val="20"/>
                    <w:szCs w:val="20"/>
                  </w:rPr>
                  <w:t xml:space="preserve"> </w:t>
                </w:r>
                <w:r>
                  <w:rPr>
                    <w:rFonts w:ascii="Arial" w:hAnsi="Arial" w:cs="Arial"/>
                    <w:sz w:val="20"/>
                    <w:szCs w:val="20"/>
                  </w:rPr>
                  <w:t>–</w:t>
                </w:r>
                <w:r w:rsidRPr="00C176A8">
                  <w:rPr>
                    <w:rFonts w:ascii="Arial" w:hAnsi="Arial" w:cs="Arial"/>
                    <w:sz w:val="20"/>
                    <w:szCs w:val="20"/>
                  </w:rPr>
                  <w:t xml:space="preserve"> </w:t>
                </w:r>
                <w:r w:rsidR="006613F0" w:rsidRPr="006613F0">
                  <w:rPr>
                    <w:rFonts w:ascii="Arial" w:hAnsi="Arial" w:cs="Arial"/>
                    <w:sz w:val="20"/>
                    <w:szCs w:val="20"/>
                  </w:rPr>
                  <w:t>NHS funded treatment for subfertility</w:t>
                </w:r>
              </w:p>
              <w:p w14:paraId="3378BE76" w14:textId="624B0005" w:rsidR="005F2E44" w:rsidRPr="00C176A8" w:rsidRDefault="005F2E44" w:rsidP="001C71E6">
                <w:pPr>
                  <w:pStyle w:val="Footer"/>
                  <w:rPr>
                    <w:rFonts w:ascii="Arial" w:hAnsi="Arial" w:cs="Arial"/>
                    <w:sz w:val="20"/>
                    <w:szCs w:val="20"/>
                  </w:rPr>
                </w:pPr>
                <w:r w:rsidRPr="00C176A8">
                  <w:rPr>
                    <w:rFonts w:ascii="Arial" w:hAnsi="Arial" w:cs="Arial"/>
                    <w:sz w:val="20"/>
                    <w:szCs w:val="20"/>
                  </w:rPr>
                  <w:t xml:space="preserve">Version </w:t>
                </w:r>
                <w:r>
                  <w:rPr>
                    <w:rFonts w:ascii="Arial" w:hAnsi="Arial" w:cs="Arial"/>
                    <w:sz w:val="20"/>
                    <w:szCs w:val="20"/>
                  </w:rPr>
                  <w:t>0.</w:t>
                </w:r>
                <w:r w:rsidR="003B0202">
                  <w:rPr>
                    <w:rFonts w:ascii="Arial" w:hAnsi="Arial" w:cs="Arial"/>
                    <w:sz w:val="20"/>
                    <w:szCs w:val="20"/>
                  </w:rPr>
                  <w:t>4</w:t>
                </w:r>
                <w:r>
                  <w:rPr>
                    <w:rFonts w:ascii="Arial" w:hAnsi="Arial" w:cs="Arial"/>
                    <w:sz w:val="20"/>
                    <w:szCs w:val="20"/>
                  </w:rPr>
                  <w:t xml:space="preserve"> DRAFT</w:t>
                </w:r>
                <w:r w:rsidRPr="00C176A8">
                  <w:rPr>
                    <w:rFonts w:ascii="Arial" w:hAnsi="Arial" w:cs="Arial"/>
                    <w:sz w:val="20"/>
                    <w:szCs w:val="20"/>
                  </w:rPr>
                  <w:t xml:space="preserve">, </w:t>
                </w:r>
                <w:r>
                  <w:rPr>
                    <w:rFonts w:ascii="Arial" w:hAnsi="Arial" w:cs="Arial"/>
                    <w:sz w:val="20"/>
                    <w:szCs w:val="20"/>
                  </w:rPr>
                  <w:t>[Date Published]</w:t>
                </w:r>
              </w:p>
            </w:tc>
            <w:tc>
              <w:tcPr>
                <w:tcW w:w="1737" w:type="dxa"/>
              </w:tcPr>
              <w:p w14:paraId="3A2F77EE" w14:textId="77777777" w:rsidR="005F2E44" w:rsidRPr="00C176A8" w:rsidRDefault="005F2E44" w:rsidP="001C71E6">
                <w:pPr>
                  <w:rPr>
                    <w:rFonts w:ascii="Arial" w:eastAsia="Arial" w:hAnsi="Arial" w:cs="Arial"/>
                    <w:bCs/>
                    <w:i/>
                    <w:iCs/>
                    <w:sz w:val="20"/>
                    <w:szCs w:val="20"/>
                  </w:rPr>
                </w:pPr>
              </w:p>
              <w:p w14:paraId="4A18AEBE" w14:textId="77777777" w:rsidR="005F2E44" w:rsidRPr="00C176A8" w:rsidRDefault="005F2E44" w:rsidP="001C71E6">
                <w:pPr>
                  <w:jc w:val="right"/>
                  <w:rPr>
                    <w:rFonts w:ascii="Arial" w:eastAsia="Arial" w:hAnsi="Arial" w:cs="Arial"/>
                    <w:sz w:val="20"/>
                    <w:szCs w:val="20"/>
                  </w:rPr>
                </w:pPr>
                <w:r w:rsidRPr="00C176A8">
                  <w:rPr>
                    <w:rFonts w:ascii="Arial" w:hAnsi="Arial" w:cs="Arial"/>
                    <w:sz w:val="20"/>
                    <w:szCs w:val="20"/>
                  </w:rPr>
                  <w:t xml:space="preserve">Page </w:t>
                </w:r>
                <w:r w:rsidRPr="00C176A8">
                  <w:rPr>
                    <w:rFonts w:ascii="Arial" w:hAnsi="Arial" w:cs="Arial"/>
                    <w:b/>
                    <w:bCs/>
                    <w:sz w:val="20"/>
                    <w:szCs w:val="20"/>
                  </w:rPr>
                  <w:fldChar w:fldCharType="begin"/>
                </w:r>
                <w:r w:rsidRPr="00C176A8">
                  <w:rPr>
                    <w:rFonts w:ascii="Arial" w:hAnsi="Arial" w:cs="Arial"/>
                    <w:b/>
                    <w:bCs/>
                    <w:sz w:val="20"/>
                    <w:szCs w:val="20"/>
                  </w:rPr>
                  <w:instrText xml:space="preserve"> PAGE  \* Arabic  \* MERGEFORMAT </w:instrText>
                </w:r>
                <w:r w:rsidRPr="00C176A8">
                  <w:rPr>
                    <w:rFonts w:ascii="Arial" w:hAnsi="Arial" w:cs="Arial"/>
                    <w:b/>
                    <w:bCs/>
                    <w:sz w:val="20"/>
                    <w:szCs w:val="20"/>
                  </w:rPr>
                  <w:fldChar w:fldCharType="separate"/>
                </w:r>
                <w:r>
                  <w:rPr>
                    <w:rFonts w:ascii="Arial" w:hAnsi="Arial" w:cs="Arial"/>
                    <w:b/>
                    <w:bCs/>
                    <w:sz w:val="20"/>
                    <w:szCs w:val="20"/>
                  </w:rPr>
                  <w:t>2</w:t>
                </w:r>
                <w:r w:rsidRPr="00C176A8">
                  <w:rPr>
                    <w:rFonts w:ascii="Arial" w:hAnsi="Arial" w:cs="Arial"/>
                    <w:b/>
                    <w:bCs/>
                    <w:sz w:val="20"/>
                    <w:szCs w:val="20"/>
                  </w:rPr>
                  <w:fldChar w:fldCharType="end"/>
                </w:r>
                <w:r w:rsidRPr="00C176A8">
                  <w:rPr>
                    <w:rFonts w:ascii="Arial" w:hAnsi="Arial" w:cs="Arial"/>
                    <w:sz w:val="20"/>
                    <w:szCs w:val="20"/>
                  </w:rPr>
                  <w:t xml:space="preserve"> of </w:t>
                </w:r>
                <w:r w:rsidRPr="00C176A8">
                  <w:rPr>
                    <w:rFonts w:ascii="Arial" w:hAnsi="Arial" w:cs="Arial"/>
                    <w:b/>
                    <w:bCs/>
                    <w:sz w:val="20"/>
                    <w:szCs w:val="20"/>
                  </w:rPr>
                  <w:fldChar w:fldCharType="begin"/>
                </w:r>
                <w:r w:rsidRPr="00C176A8">
                  <w:rPr>
                    <w:rFonts w:ascii="Arial" w:hAnsi="Arial" w:cs="Arial"/>
                    <w:b/>
                    <w:bCs/>
                    <w:sz w:val="20"/>
                    <w:szCs w:val="20"/>
                  </w:rPr>
                  <w:instrText xml:space="preserve"> NUMPAGES  \* Arabic  \* MERGEFORMAT </w:instrText>
                </w:r>
                <w:r w:rsidRPr="00C176A8">
                  <w:rPr>
                    <w:rFonts w:ascii="Arial" w:hAnsi="Arial" w:cs="Arial"/>
                    <w:b/>
                    <w:bCs/>
                    <w:sz w:val="20"/>
                    <w:szCs w:val="20"/>
                  </w:rPr>
                  <w:fldChar w:fldCharType="separate"/>
                </w:r>
                <w:r>
                  <w:rPr>
                    <w:rFonts w:ascii="Arial" w:hAnsi="Arial" w:cs="Arial"/>
                    <w:b/>
                    <w:bCs/>
                    <w:sz w:val="20"/>
                    <w:szCs w:val="20"/>
                  </w:rPr>
                  <w:t>10</w:t>
                </w:r>
                <w:r w:rsidRPr="00C176A8">
                  <w:rPr>
                    <w:rFonts w:ascii="Arial" w:hAnsi="Arial" w:cs="Arial"/>
                    <w:b/>
                    <w:bCs/>
                    <w:sz w:val="20"/>
                    <w:szCs w:val="20"/>
                  </w:rPr>
                  <w:fldChar w:fldCharType="end"/>
                </w:r>
              </w:p>
            </w:tc>
          </w:tr>
        </w:tbl>
        <w:p w14:paraId="51282F7E" w14:textId="77777777" w:rsidR="005F2E44" w:rsidRPr="00C176A8" w:rsidRDefault="005F2E44" w:rsidP="001C71E6">
          <w:pPr>
            <w:pStyle w:val="Footer"/>
            <w:rPr>
              <w:rFonts w:ascii="Arial" w:hAnsi="Arial" w:cs="Arial"/>
              <w:sz w:val="20"/>
              <w:szCs w:val="20"/>
            </w:rPr>
          </w:pPr>
        </w:p>
      </w:tc>
      <w:tc>
        <w:tcPr>
          <w:tcW w:w="6412" w:type="dxa"/>
        </w:tcPr>
        <w:p w14:paraId="0DB2E34C" w14:textId="77777777" w:rsidR="005F2E44" w:rsidRPr="00C176A8" w:rsidRDefault="005F2E44" w:rsidP="001C71E6">
          <w:pPr>
            <w:jc w:val="right"/>
            <w:rPr>
              <w:rFonts w:ascii="Arial" w:eastAsia="Arial" w:hAnsi="Arial" w:cs="Arial"/>
              <w:sz w:val="20"/>
              <w:szCs w:val="20"/>
            </w:rPr>
          </w:pPr>
        </w:p>
      </w:tc>
    </w:tr>
  </w:tbl>
  <w:p w14:paraId="35CFD8F8" w14:textId="77777777" w:rsidR="005F2E44" w:rsidRPr="00016F66" w:rsidRDefault="005F2E4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3AFE2" w14:textId="77777777" w:rsidR="00A614FB" w:rsidRDefault="00A614FB" w:rsidP="005F2E44">
      <w:r>
        <w:separator/>
      </w:r>
    </w:p>
  </w:footnote>
  <w:footnote w:type="continuationSeparator" w:id="0">
    <w:p w14:paraId="13199200" w14:textId="77777777" w:rsidR="00A614FB" w:rsidRDefault="00A614FB" w:rsidP="005F2E44">
      <w:r>
        <w:continuationSeparator/>
      </w:r>
    </w:p>
  </w:footnote>
  <w:footnote w:type="continuationNotice" w:id="1">
    <w:p w14:paraId="22CF1918" w14:textId="77777777" w:rsidR="00A614FB" w:rsidRDefault="00A614FB"/>
  </w:footnote>
  <w:footnote w:id="2">
    <w:p w14:paraId="762AFA07" w14:textId="77777777" w:rsidR="000F6E45" w:rsidRPr="00101FC8" w:rsidRDefault="000F6E45" w:rsidP="000F6E45">
      <w:pPr>
        <w:pStyle w:val="FootnoteText"/>
        <w:rPr>
          <w:rFonts w:ascii="Arial" w:hAnsi="Arial" w:cs="Arial"/>
        </w:rPr>
      </w:pPr>
      <w:r w:rsidRPr="00101FC8">
        <w:rPr>
          <w:rStyle w:val="FootnoteReference"/>
          <w:rFonts w:ascii="Arial" w:hAnsi="Arial" w:cs="Arial"/>
        </w:rPr>
        <w:footnoteRef/>
      </w:r>
      <w:r w:rsidRPr="00101FC8">
        <w:rPr>
          <w:rFonts w:ascii="Arial" w:hAnsi="Arial" w:cs="Arial"/>
        </w:rPr>
        <w:t xml:space="preserve"> MAR (Medically Assisted Reproduction) is now the preferred term for all medically assisted procedures for treatment of infertility and it is an umbrella term which includes ART, ovulation induction and artificial insemination, IUI and ICSI.</w:t>
      </w:r>
    </w:p>
  </w:footnote>
  <w:footnote w:id="3">
    <w:p w14:paraId="17281318" w14:textId="43945332" w:rsidR="000A5B69" w:rsidRPr="00556CC9" w:rsidRDefault="000A5B69" w:rsidP="000A5B69">
      <w:pPr>
        <w:pStyle w:val="FootnoteText"/>
        <w:rPr>
          <w:rFonts w:ascii="Arial" w:hAnsi="Arial" w:cs="Arial"/>
        </w:rPr>
      </w:pPr>
      <w:r w:rsidRPr="00556CC9">
        <w:rPr>
          <w:rStyle w:val="FootnoteReference"/>
          <w:rFonts w:ascii="Arial" w:hAnsi="Arial" w:cs="Arial"/>
        </w:rPr>
        <w:footnoteRef/>
      </w:r>
      <w:r w:rsidRPr="00556CC9">
        <w:rPr>
          <w:rFonts w:ascii="Arial" w:hAnsi="Arial" w:cs="Arial"/>
        </w:rPr>
        <w:t xml:space="preserve"> Smoking increases the risk of infertility in women and men. Nicotine alone is known to affect development of the foetus and </w:t>
      </w:r>
      <w:r w:rsidR="00175FD9" w:rsidRPr="00556CC9">
        <w:rPr>
          <w:rFonts w:ascii="Arial" w:hAnsi="Arial" w:cs="Arial"/>
        </w:rPr>
        <w:t>long-term</w:t>
      </w:r>
      <w:r w:rsidRPr="00556CC9">
        <w:rPr>
          <w:rFonts w:ascii="Arial" w:hAnsi="Arial" w:cs="Arial"/>
        </w:rPr>
        <w:t xml:space="preserve"> safety data on e-cigarettes are unknown. Because of these concerns and issues, all forms of smoking (which includes cigarettes, e-cigarettes or NRT) are not permitted.</w:t>
      </w:r>
    </w:p>
  </w:footnote>
  <w:footnote w:id="4">
    <w:p w14:paraId="11FD8780" w14:textId="77777777" w:rsidR="00314148" w:rsidRPr="00314148" w:rsidRDefault="00314148" w:rsidP="00314148">
      <w:pPr>
        <w:pStyle w:val="FootnoteText"/>
        <w:rPr>
          <w:rFonts w:ascii="Arial" w:hAnsi="Arial" w:cs="Arial"/>
        </w:rPr>
      </w:pPr>
      <w:r w:rsidRPr="00314148">
        <w:rPr>
          <w:rStyle w:val="FootnoteReference"/>
          <w:rFonts w:ascii="Arial" w:hAnsi="Arial" w:cs="Arial"/>
        </w:rPr>
        <w:footnoteRef/>
      </w:r>
      <w:r w:rsidRPr="00314148">
        <w:rPr>
          <w:rFonts w:ascii="Arial" w:hAnsi="Arial" w:cs="Arial"/>
        </w:rPr>
        <w:t xml:space="preserve"> See section on ovarian reserve 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20C1" w14:textId="6CF528D7" w:rsidR="006302DB" w:rsidRDefault="0029577C">
    <w:pPr>
      <w:pStyle w:val="Header"/>
    </w:pPr>
    <w:r>
      <w:rPr>
        <w:noProof/>
      </w:rPr>
      <w:pict w14:anchorId="2C9F0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8297" o:spid="_x0000_s1028" type="#_x0000_t136" style="position:absolute;margin-left:0;margin-top:0;width:485.35pt;height:194.1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6AB5" w14:textId="3D8A7FB8" w:rsidR="00C11A66" w:rsidRDefault="0029577C">
    <w:pPr>
      <w:pStyle w:val="Header"/>
    </w:pPr>
    <w:r>
      <w:rPr>
        <w:noProof/>
      </w:rPr>
      <w:pict w14:anchorId="09BD4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8298" o:spid="_x0000_s1029" type="#_x0000_t136" style="position:absolute;margin-left:0;margin-top:0;width:485.35pt;height:194.15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11A66">
      <w:rPr>
        <w:noProof/>
      </w:rPr>
      <w:drawing>
        <wp:anchor distT="0" distB="0" distL="114300" distR="114300" simplePos="0" relativeHeight="251658240" behindDoc="0" locked="0" layoutInCell="1" allowOverlap="1" wp14:anchorId="1592694B" wp14:editId="4C34CC64">
          <wp:simplePos x="0" y="0"/>
          <wp:positionH relativeFrom="page">
            <wp:posOffset>4489642</wp:posOffset>
          </wp:positionH>
          <wp:positionV relativeFrom="paragraph">
            <wp:posOffset>-450215</wp:posOffset>
          </wp:positionV>
          <wp:extent cx="3054889" cy="1207698"/>
          <wp:effectExtent l="0" t="0" r="0" b="0"/>
          <wp:wrapNone/>
          <wp:docPr id="471065068" name="Picture 47106506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61977" cy="1210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BC0F" w14:textId="74ADC803" w:rsidR="005F2E44" w:rsidRDefault="0029577C" w:rsidP="001C71E6">
    <w:pPr>
      <w:pStyle w:val="Header"/>
      <w:ind w:left="-567"/>
    </w:pPr>
    <w:r>
      <w:rPr>
        <w:noProof/>
      </w:rPr>
      <w:pict w14:anchorId="6B67E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8296" o:spid="_x0000_s1027" type="#_x0000_t136" style="position:absolute;left:0;text-align:left;margin-left:0;margin-top:0;width:485.35pt;height:194.1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F2E44" w:rsidRPr="00871A40">
      <w:rPr>
        <w:rFonts w:ascii="Arial" w:hAnsi="Arial" w:cs="Arial"/>
        <w:i/>
        <w:iCs/>
      </w:rPr>
      <w:t>Cheshire and Merseyside Integrated Care Board</w:t>
    </w:r>
    <w:r w:rsidR="005F2E44" w:rsidRPr="00871A40">
      <w:rPr>
        <w:rFonts w:ascii="Arial" w:hAnsi="Arial" w:cs="Arial"/>
        <w:i/>
        <w:i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48D3" w14:textId="666F3F4C" w:rsidR="006302DB" w:rsidRDefault="0029577C">
    <w:pPr>
      <w:pStyle w:val="Header"/>
    </w:pPr>
    <w:r>
      <w:rPr>
        <w:noProof/>
      </w:rPr>
      <w:pict w14:anchorId="7392E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8300" o:spid="_x0000_s1031" type="#_x0000_t136" style="position:absolute;margin-left:0;margin-top:0;width:485.35pt;height:194.15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6BC8" w14:textId="1F2D74A9" w:rsidR="00320B29" w:rsidRDefault="0029577C">
    <w:pPr>
      <w:pStyle w:val="Header"/>
    </w:pPr>
    <w:r>
      <w:rPr>
        <w:noProof/>
      </w:rPr>
      <w:pict w14:anchorId="03F66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8301" o:spid="_x0000_s1032" type="#_x0000_t136" style="position:absolute;margin-left:0;margin-top:0;width:485.35pt;height:194.15pt;rotation:315;z-index:-25165823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93A05" w:rsidRPr="00871A40">
      <w:rPr>
        <w:rFonts w:ascii="Arial" w:hAnsi="Arial" w:cs="Arial"/>
        <w:i/>
        <w:iCs/>
      </w:rPr>
      <w:t>Cheshire and Merseyside Integrated Care Board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8129" w14:textId="4E4F8E94" w:rsidR="006302DB" w:rsidRDefault="0029577C">
    <w:pPr>
      <w:pStyle w:val="Header"/>
    </w:pPr>
    <w:r>
      <w:rPr>
        <w:noProof/>
      </w:rPr>
      <w:pict w14:anchorId="283D2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8299" o:spid="_x0000_s1030" type="#_x0000_t136" style="position:absolute;margin-left:0;margin-top:0;width:485.35pt;height:194.15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54C2" w14:textId="5C0AAB61" w:rsidR="006302DB" w:rsidRDefault="0029577C">
    <w:pPr>
      <w:pStyle w:val="Header"/>
    </w:pPr>
    <w:r>
      <w:rPr>
        <w:noProof/>
      </w:rPr>
      <w:pict w14:anchorId="1B711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8303" o:spid="_x0000_s1034" type="#_x0000_t136" style="position:absolute;margin-left:0;margin-top:0;width:485.35pt;height:194.15pt;rotation:315;z-index:-25165823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AA8D" w14:textId="6994634C" w:rsidR="006302DB" w:rsidRDefault="0029577C">
    <w:pPr>
      <w:pStyle w:val="Header"/>
    </w:pPr>
    <w:r>
      <w:rPr>
        <w:noProof/>
      </w:rPr>
      <w:pict w14:anchorId="09BE6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8304" o:spid="_x0000_s1035" type="#_x0000_t136" style="position:absolute;margin-left:0;margin-top:0;width:485.35pt;height:194.15pt;rotation:315;z-index:-25165823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5274" w14:textId="49699EC2" w:rsidR="00693A05" w:rsidRDefault="0029577C" w:rsidP="001C71E6">
    <w:pPr>
      <w:pStyle w:val="Header"/>
      <w:ind w:left="-567"/>
    </w:pPr>
    <w:r>
      <w:rPr>
        <w:noProof/>
      </w:rPr>
      <w:pict w14:anchorId="17DA5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08302" o:spid="_x0000_s1033" type="#_x0000_t136" style="position:absolute;left:0;text-align:left;margin-left:0;margin-top:0;width:485.35pt;height:194.15pt;rotation:315;z-index:-2516582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
      <w:sdtPr>
        <w:rPr>
          <w:rFonts w:ascii="Arial" w:hAnsi="Arial" w:cs="Arial"/>
          <w:i/>
          <w:iCs/>
        </w:rPr>
        <w:id w:val="1539694195"/>
        <w:docPartObj>
          <w:docPartGallery w:val="Watermarks"/>
          <w:docPartUnique/>
        </w:docPartObj>
      </w:sdtPr>
      <w:sdtEndPr/>
      <w:sdtContent>
        <w:r w:rsidR="00C44BC3">
          <w:rPr>
            <w:rFonts w:ascii="Arial" w:hAnsi="Arial" w:cs="Arial"/>
            <w:i/>
            <w:iCs/>
            <w:noProof/>
          </w:rPr>
          <mc:AlternateContent>
            <mc:Choice Requires="wps">
              <w:drawing>
                <wp:anchor distT="0" distB="0" distL="114300" distR="114300" simplePos="0" relativeHeight="251658241" behindDoc="1" locked="0" layoutInCell="0" allowOverlap="1" wp14:anchorId="7996EBD8" wp14:editId="5D1D961B">
                  <wp:simplePos x="0" y="0"/>
                  <wp:positionH relativeFrom="margin">
                    <wp:align>center</wp:align>
                  </wp:positionH>
                  <wp:positionV relativeFrom="margin">
                    <wp:align>center</wp:align>
                  </wp:positionV>
                  <wp:extent cx="5237480" cy="3142615"/>
                  <wp:effectExtent l="0" t="1143000" r="0" b="657860"/>
                  <wp:wrapNone/>
                  <wp:docPr id="23068044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684D8B" w14:textId="77777777" w:rsidR="00C44BC3" w:rsidRDefault="00C44BC3" w:rsidP="00C44BC3">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96EBD8" id="_x0000_t202" coordsize="21600,21600" o:spt="202" path="m,l,21600r21600,l21600,xe">
                  <v:stroke joinstyle="miter"/>
                  <v:path gradientshapeok="t" o:connecttype="rect"/>
                </v:shapetype>
                <v:shape id="WordArt 2" o:spid="_x0000_s1026" type="#_x0000_t202" style="position:absolute;left:0;text-align:left;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73684D8B" w14:textId="77777777" w:rsidR="00C44BC3" w:rsidRDefault="00C44BC3" w:rsidP="00C44BC3">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693A05" w:rsidRPr="00871A40">
      <w:rPr>
        <w:rFonts w:ascii="Arial" w:hAnsi="Arial" w:cs="Arial"/>
        <w:i/>
        <w:iCs/>
      </w:rPr>
      <w:t>Cheshire and Merseyside Integrated Care Board</w:t>
    </w:r>
    <w:r w:rsidR="00693A05" w:rsidRPr="00871A40">
      <w:rPr>
        <w:rFonts w:ascii="Arial" w:hAnsi="Arial" w:cs="Arial"/>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2106"/>
    <w:multiLevelType w:val="hybridMultilevel"/>
    <w:tmpl w:val="35BE0C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63A52"/>
    <w:multiLevelType w:val="multilevel"/>
    <w:tmpl w:val="59BE5ACC"/>
    <w:lvl w:ilvl="0">
      <w:start w:val="1"/>
      <w:numFmt w:val="decimal"/>
      <w:lvlText w:val="%1."/>
      <w:lvlJc w:val="left"/>
      <w:pPr>
        <w:ind w:left="720" w:hanging="360"/>
      </w:pPr>
    </w:lvl>
    <w:lvl w:ilvl="1">
      <w:start w:val="1"/>
      <w:numFmt w:val="decimal"/>
      <w:isLgl/>
      <w:lvlText w:val="%1.%2"/>
      <w:lvlJc w:val="left"/>
      <w:pPr>
        <w:ind w:left="1637" w:hanging="360"/>
      </w:pPr>
      <w:rPr>
        <w:rFonts w:hint="default"/>
        <w:b w:val="0"/>
        <w:bCs w:val="0"/>
        <w:color w:val="auto"/>
        <w:sz w:val="22"/>
        <w:szCs w:val="22"/>
      </w:rPr>
    </w:lvl>
    <w:lvl w:ilvl="2">
      <w:start w:val="1"/>
      <w:numFmt w:val="bullet"/>
      <w:lvlText w:val=""/>
      <w:lvlJc w:val="left"/>
      <w:pPr>
        <w:ind w:left="2554" w:hanging="360"/>
      </w:pPr>
      <w:rPr>
        <w:rFonts w:ascii="Symbol" w:hAnsi="Symbol"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2" w15:restartNumberingAfterBreak="0">
    <w:nsid w:val="0F2C3B87"/>
    <w:multiLevelType w:val="hybridMultilevel"/>
    <w:tmpl w:val="E8603C7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71220"/>
    <w:multiLevelType w:val="hybridMultilevel"/>
    <w:tmpl w:val="16EC9D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317CDE"/>
    <w:multiLevelType w:val="hybridMultilevel"/>
    <w:tmpl w:val="3084BF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00441"/>
    <w:multiLevelType w:val="multilevel"/>
    <w:tmpl w:val="FCBC784C"/>
    <w:lvl w:ilvl="0">
      <w:start w:val="1"/>
      <w:numFmt w:val="decimal"/>
      <w:lvlText w:val="%1."/>
      <w:lvlJc w:val="left"/>
      <w:pPr>
        <w:ind w:left="720" w:hanging="360"/>
      </w:pPr>
    </w:lvl>
    <w:lvl w:ilvl="1">
      <w:start w:val="1"/>
      <w:numFmt w:val="bullet"/>
      <w:lvlText w:val=""/>
      <w:lvlJc w:val="left"/>
      <w:pPr>
        <w:ind w:left="1637" w:hanging="360"/>
      </w:pPr>
      <w:rPr>
        <w:rFonts w:ascii="Symbol" w:hAnsi="Symbol" w:hint="default"/>
      </w:rPr>
    </w:lvl>
    <w:lvl w:ilvl="2">
      <w:start w:val="1"/>
      <w:numFmt w:val="decimal"/>
      <w:isLgl/>
      <w:lvlText w:val="%1.%2.%3"/>
      <w:lvlJc w:val="left"/>
      <w:pPr>
        <w:ind w:left="2914" w:hanging="720"/>
      </w:pPr>
      <w:rPr>
        <w:rFonts w:hint="default"/>
        <w:b w:val="0"/>
        <w:bCs w:val="0"/>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6" w15:restartNumberingAfterBreak="0">
    <w:nsid w:val="259862C1"/>
    <w:multiLevelType w:val="hybridMultilevel"/>
    <w:tmpl w:val="B16E7D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AD03639"/>
    <w:multiLevelType w:val="hybridMultilevel"/>
    <w:tmpl w:val="C1CE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C7663"/>
    <w:multiLevelType w:val="hybridMultilevel"/>
    <w:tmpl w:val="12F83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758A9"/>
    <w:multiLevelType w:val="hybridMultilevel"/>
    <w:tmpl w:val="DAFA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F24B8"/>
    <w:multiLevelType w:val="hybridMultilevel"/>
    <w:tmpl w:val="B3229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938F5"/>
    <w:multiLevelType w:val="hybridMultilevel"/>
    <w:tmpl w:val="44ACD5E6"/>
    <w:lvl w:ilvl="0" w:tplc="69961F86">
      <w:start w:val="1"/>
      <w:numFmt w:val="bullet"/>
      <w:lvlText w:val=""/>
      <w:lvlJc w:val="left"/>
      <w:pPr>
        <w:ind w:left="720" w:hanging="360"/>
      </w:pPr>
      <w:rPr>
        <w:rFonts w:ascii="Symbol" w:hAnsi="Symbol" w:hint="default"/>
        <w:color w:val="234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D2418"/>
    <w:multiLevelType w:val="hybridMultilevel"/>
    <w:tmpl w:val="E024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00F34"/>
    <w:multiLevelType w:val="hybridMultilevel"/>
    <w:tmpl w:val="767CCA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EFE0CBE"/>
    <w:multiLevelType w:val="hybridMultilevel"/>
    <w:tmpl w:val="42540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124C55"/>
    <w:multiLevelType w:val="hybridMultilevel"/>
    <w:tmpl w:val="3FD0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D2D04"/>
    <w:multiLevelType w:val="multilevel"/>
    <w:tmpl w:val="B0727630"/>
    <w:lvl w:ilvl="0">
      <w:start w:val="7"/>
      <w:numFmt w:val="decimal"/>
      <w:lvlText w:val="%1."/>
      <w:lvlJc w:val="left"/>
      <w:pPr>
        <w:ind w:left="720" w:hanging="360"/>
      </w:pPr>
      <w:rPr>
        <w:rFonts w:hint="default"/>
        <w:color w:val="23406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64C2D58"/>
    <w:multiLevelType w:val="multilevel"/>
    <w:tmpl w:val="C4B4B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BDC2A60"/>
    <w:multiLevelType w:val="hybridMultilevel"/>
    <w:tmpl w:val="33F822EE"/>
    <w:lvl w:ilvl="0" w:tplc="4E14DEE0">
      <w:start w:val="1"/>
      <w:numFmt w:val="bullet"/>
      <w:lvlText w:val=""/>
      <w:lvlJc w:val="left"/>
      <w:pPr>
        <w:ind w:left="644"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51F74"/>
    <w:multiLevelType w:val="hybridMultilevel"/>
    <w:tmpl w:val="DB18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6271C"/>
    <w:multiLevelType w:val="hybridMultilevel"/>
    <w:tmpl w:val="2160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B7377"/>
    <w:multiLevelType w:val="hybridMultilevel"/>
    <w:tmpl w:val="F8C6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4424">
    <w:abstractNumId w:val="13"/>
  </w:num>
  <w:num w:numId="2" w16cid:durableId="399718252">
    <w:abstractNumId w:val="2"/>
  </w:num>
  <w:num w:numId="3" w16cid:durableId="1426221599">
    <w:abstractNumId w:val="1"/>
  </w:num>
  <w:num w:numId="4" w16cid:durableId="1532378413">
    <w:abstractNumId w:val="6"/>
  </w:num>
  <w:num w:numId="5" w16cid:durableId="1640764283">
    <w:abstractNumId w:val="15"/>
  </w:num>
  <w:num w:numId="6" w16cid:durableId="736320876">
    <w:abstractNumId w:val="20"/>
  </w:num>
  <w:num w:numId="7" w16cid:durableId="2015494881">
    <w:abstractNumId w:val="21"/>
  </w:num>
  <w:num w:numId="8" w16cid:durableId="346058317">
    <w:abstractNumId w:val="11"/>
  </w:num>
  <w:num w:numId="9" w16cid:durableId="1056271386">
    <w:abstractNumId w:val="0"/>
  </w:num>
  <w:num w:numId="10" w16cid:durableId="1112898962">
    <w:abstractNumId w:val="19"/>
  </w:num>
  <w:num w:numId="11" w16cid:durableId="1974750039">
    <w:abstractNumId w:val="4"/>
  </w:num>
  <w:num w:numId="12" w16cid:durableId="80878860">
    <w:abstractNumId w:val="3"/>
  </w:num>
  <w:num w:numId="13" w16cid:durableId="1105270399">
    <w:abstractNumId w:val="8"/>
  </w:num>
  <w:num w:numId="14" w16cid:durableId="276909955">
    <w:abstractNumId w:val="16"/>
  </w:num>
  <w:num w:numId="15" w16cid:durableId="1539855363">
    <w:abstractNumId w:val="10"/>
  </w:num>
  <w:num w:numId="16" w16cid:durableId="1672178371">
    <w:abstractNumId w:val="5"/>
  </w:num>
  <w:num w:numId="17" w16cid:durableId="1149130853">
    <w:abstractNumId w:val="18"/>
  </w:num>
  <w:num w:numId="18" w16cid:durableId="1134641689">
    <w:abstractNumId w:val="17"/>
  </w:num>
  <w:num w:numId="19" w16cid:durableId="1022393005">
    <w:abstractNumId w:val="14"/>
  </w:num>
  <w:num w:numId="20" w16cid:durableId="564074198">
    <w:abstractNumId w:val="12"/>
  </w:num>
  <w:num w:numId="21" w16cid:durableId="714277004">
    <w:abstractNumId w:val="7"/>
  </w:num>
  <w:num w:numId="22" w16cid:durableId="65105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44"/>
    <w:rsid w:val="000018B2"/>
    <w:rsid w:val="00002986"/>
    <w:rsid w:val="00012537"/>
    <w:rsid w:val="00015B8E"/>
    <w:rsid w:val="00016A02"/>
    <w:rsid w:val="00022B64"/>
    <w:rsid w:val="000232A7"/>
    <w:rsid w:val="00025723"/>
    <w:rsid w:val="00027A16"/>
    <w:rsid w:val="000313C6"/>
    <w:rsid w:val="00035FAC"/>
    <w:rsid w:val="000417DA"/>
    <w:rsid w:val="00043576"/>
    <w:rsid w:val="000449F6"/>
    <w:rsid w:val="0004749A"/>
    <w:rsid w:val="00053ECB"/>
    <w:rsid w:val="0005626B"/>
    <w:rsid w:val="00057C53"/>
    <w:rsid w:val="00065DAC"/>
    <w:rsid w:val="00066864"/>
    <w:rsid w:val="000739CA"/>
    <w:rsid w:val="00073B3B"/>
    <w:rsid w:val="0007519E"/>
    <w:rsid w:val="0007665D"/>
    <w:rsid w:val="00082D59"/>
    <w:rsid w:val="00083506"/>
    <w:rsid w:val="00084E3E"/>
    <w:rsid w:val="000850EA"/>
    <w:rsid w:val="0009329D"/>
    <w:rsid w:val="00096B91"/>
    <w:rsid w:val="000A5911"/>
    <w:rsid w:val="000A5B69"/>
    <w:rsid w:val="000B2BB7"/>
    <w:rsid w:val="000B4025"/>
    <w:rsid w:val="000B61A2"/>
    <w:rsid w:val="000C46ED"/>
    <w:rsid w:val="000C5DD8"/>
    <w:rsid w:val="000D4F74"/>
    <w:rsid w:val="000D5A94"/>
    <w:rsid w:val="000D657A"/>
    <w:rsid w:val="000E00B1"/>
    <w:rsid w:val="000E1DF6"/>
    <w:rsid w:val="000E4B19"/>
    <w:rsid w:val="000F0AC2"/>
    <w:rsid w:val="000F3D90"/>
    <w:rsid w:val="000F6E45"/>
    <w:rsid w:val="000F7AFF"/>
    <w:rsid w:val="001065B6"/>
    <w:rsid w:val="00114674"/>
    <w:rsid w:val="0011541B"/>
    <w:rsid w:val="00125922"/>
    <w:rsid w:val="0012595F"/>
    <w:rsid w:val="00125BCD"/>
    <w:rsid w:val="001339AB"/>
    <w:rsid w:val="0013432E"/>
    <w:rsid w:val="001355B5"/>
    <w:rsid w:val="001379C0"/>
    <w:rsid w:val="00142587"/>
    <w:rsid w:val="00144EDD"/>
    <w:rsid w:val="00145732"/>
    <w:rsid w:val="00151D53"/>
    <w:rsid w:val="001541B1"/>
    <w:rsid w:val="001544D6"/>
    <w:rsid w:val="00154BCA"/>
    <w:rsid w:val="001552E6"/>
    <w:rsid w:val="001569AA"/>
    <w:rsid w:val="001579D1"/>
    <w:rsid w:val="00157D98"/>
    <w:rsid w:val="00161EA4"/>
    <w:rsid w:val="00162DCB"/>
    <w:rsid w:val="00165F58"/>
    <w:rsid w:val="001708FD"/>
    <w:rsid w:val="00170FBB"/>
    <w:rsid w:val="00173215"/>
    <w:rsid w:val="00175FD9"/>
    <w:rsid w:val="001819A9"/>
    <w:rsid w:val="00181FF4"/>
    <w:rsid w:val="00182827"/>
    <w:rsid w:val="00183D2D"/>
    <w:rsid w:val="00185C3D"/>
    <w:rsid w:val="001863DF"/>
    <w:rsid w:val="00186DC0"/>
    <w:rsid w:val="00191415"/>
    <w:rsid w:val="00192689"/>
    <w:rsid w:val="00194A2B"/>
    <w:rsid w:val="00195B57"/>
    <w:rsid w:val="0019675F"/>
    <w:rsid w:val="001979D7"/>
    <w:rsid w:val="001A10D4"/>
    <w:rsid w:val="001A2EF0"/>
    <w:rsid w:val="001A5749"/>
    <w:rsid w:val="001A5CC5"/>
    <w:rsid w:val="001A6378"/>
    <w:rsid w:val="001A70D3"/>
    <w:rsid w:val="001B1BC1"/>
    <w:rsid w:val="001C05DC"/>
    <w:rsid w:val="001C514E"/>
    <w:rsid w:val="001C6743"/>
    <w:rsid w:val="001C71E6"/>
    <w:rsid w:val="001D29CA"/>
    <w:rsid w:val="001D29D6"/>
    <w:rsid w:val="001D39D5"/>
    <w:rsid w:val="001D73C0"/>
    <w:rsid w:val="001E2483"/>
    <w:rsid w:val="001E2CAA"/>
    <w:rsid w:val="001F1290"/>
    <w:rsid w:val="001F37D8"/>
    <w:rsid w:val="001F7353"/>
    <w:rsid w:val="001F789A"/>
    <w:rsid w:val="001F7A7D"/>
    <w:rsid w:val="00201BBC"/>
    <w:rsid w:val="00205550"/>
    <w:rsid w:val="00205CCA"/>
    <w:rsid w:val="0020628D"/>
    <w:rsid w:val="00214098"/>
    <w:rsid w:val="0021750D"/>
    <w:rsid w:val="002214E0"/>
    <w:rsid w:val="00221A1D"/>
    <w:rsid w:val="00221F27"/>
    <w:rsid w:val="00224E19"/>
    <w:rsid w:val="00227421"/>
    <w:rsid w:val="0023068A"/>
    <w:rsid w:val="002319EB"/>
    <w:rsid w:val="00234424"/>
    <w:rsid w:val="00235A02"/>
    <w:rsid w:val="002373B0"/>
    <w:rsid w:val="00242C1B"/>
    <w:rsid w:val="002430AF"/>
    <w:rsid w:val="00243EAF"/>
    <w:rsid w:val="00245F23"/>
    <w:rsid w:val="00245F6F"/>
    <w:rsid w:val="00247ADA"/>
    <w:rsid w:val="00247E7F"/>
    <w:rsid w:val="00250F1E"/>
    <w:rsid w:val="00253E8D"/>
    <w:rsid w:val="002565B3"/>
    <w:rsid w:val="002603EC"/>
    <w:rsid w:val="00262698"/>
    <w:rsid w:val="002706DE"/>
    <w:rsid w:val="002728F5"/>
    <w:rsid w:val="0028114D"/>
    <w:rsid w:val="00282A0D"/>
    <w:rsid w:val="00285A82"/>
    <w:rsid w:val="0029229E"/>
    <w:rsid w:val="002956B7"/>
    <w:rsid w:val="0029577C"/>
    <w:rsid w:val="002A49EB"/>
    <w:rsid w:val="002A5061"/>
    <w:rsid w:val="002A6681"/>
    <w:rsid w:val="002A70F2"/>
    <w:rsid w:val="002A7FAA"/>
    <w:rsid w:val="002B3849"/>
    <w:rsid w:val="002B3B1A"/>
    <w:rsid w:val="002C5786"/>
    <w:rsid w:val="002C684B"/>
    <w:rsid w:val="002C762F"/>
    <w:rsid w:val="002D62EA"/>
    <w:rsid w:val="002D6FE8"/>
    <w:rsid w:val="002E733A"/>
    <w:rsid w:val="002F2EBF"/>
    <w:rsid w:val="002F4407"/>
    <w:rsid w:val="002F56EC"/>
    <w:rsid w:val="003003CE"/>
    <w:rsid w:val="00303CBA"/>
    <w:rsid w:val="00313301"/>
    <w:rsid w:val="003134D7"/>
    <w:rsid w:val="00314148"/>
    <w:rsid w:val="00315499"/>
    <w:rsid w:val="00317FE2"/>
    <w:rsid w:val="0032036F"/>
    <w:rsid w:val="003204BB"/>
    <w:rsid w:val="00320B29"/>
    <w:rsid w:val="003252C7"/>
    <w:rsid w:val="00326FCC"/>
    <w:rsid w:val="00332C26"/>
    <w:rsid w:val="00340623"/>
    <w:rsid w:val="0034205F"/>
    <w:rsid w:val="00345FE1"/>
    <w:rsid w:val="0035022A"/>
    <w:rsid w:val="0035343B"/>
    <w:rsid w:val="0036034E"/>
    <w:rsid w:val="00361B48"/>
    <w:rsid w:val="00364A44"/>
    <w:rsid w:val="003715F5"/>
    <w:rsid w:val="00374452"/>
    <w:rsid w:val="00377928"/>
    <w:rsid w:val="00380373"/>
    <w:rsid w:val="00393681"/>
    <w:rsid w:val="003A1ECF"/>
    <w:rsid w:val="003A212B"/>
    <w:rsid w:val="003A2F4E"/>
    <w:rsid w:val="003A309F"/>
    <w:rsid w:val="003A3D1A"/>
    <w:rsid w:val="003A6786"/>
    <w:rsid w:val="003B0202"/>
    <w:rsid w:val="003B182C"/>
    <w:rsid w:val="003B2FD9"/>
    <w:rsid w:val="003B31F0"/>
    <w:rsid w:val="003C2949"/>
    <w:rsid w:val="003C32E3"/>
    <w:rsid w:val="003C6718"/>
    <w:rsid w:val="003D065F"/>
    <w:rsid w:val="003D0A53"/>
    <w:rsid w:val="003D18B8"/>
    <w:rsid w:val="003D3CFA"/>
    <w:rsid w:val="003E053B"/>
    <w:rsid w:val="003F0278"/>
    <w:rsid w:val="003F12CF"/>
    <w:rsid w:val="003F3B25"/>
    <w:rsid w:val="003F61E7"/>
    <w:rsid w:val="003F7923"/>
    <w:rsid w:val="00400492"/>
    <w:rsid w:val="00406A43"/>
    <w:rsid w:val="00410D74"/>
    <w:rsid w:val="00411801"/>
    <w:rsid w:val="00417BE5"/>
    <w:rsid w:val="004200F7"/>
    <w:rsid w:val="00421000"/>
    <w:rsid w:val="0042387C"/>
    <w:rsid w:val="00425B7D"/>
    <w:rsid w:val="00427377"/>
    <w:rsid w:val="0043179C"/>
    <w:rsid w:val="00435163"/>
    <w:rsid w:val="0045303D"/>
    <w:rsid w:val="00462423"/>
    <w:rsid w:val="004643B0"/>
    <w:rsid w:val="0047211F"/>
    <w:rsid w:val="00474668"/>
    <w:rsid w:val="00474A9F"/>
    <w:rsid w:val="00474CD5"/>
    <w:rsid w:val="004760D8"/>
    <w:rsid w:val="00476A00"/>
    <w:rsid w:val="00481326"/>
    <w:rsid w:val="00482486"/>
    <w:rsid w:val="00484377"/>
    <w:rsid w:val="0048625E"/>
    <w:rsid w:val="004878C8"/>
    <w:rsid w:val="0049090E"/>
    <w:rsid w:val="00491A36"/>
    <w:rsid w:val="00492E0C"/>
    <w:rsid w:val="004934E0"/>
    <w:rsid w:val="00493B2E"/>
    <w:rsid w:val="004A3AAD"/>
    <w:rsid w:val="004B001D"/>
    <w:rsid w:val="004B4461"/>
    <w:rsid w:val="004B4BAA"/>
    <w:rsid w:val="004C1795"/>
    <w:rsid w:val="004C227A"/>
    <w:rsid w:val="004C2FBD"/>
    <w:rsid w:val="004D1950"/>
    <w:rsid w:val="004D6AB7"/>
    <w:rsid w:val="004D75C3"/>
    <w:rsid w:val="004F09D8"/>
    <w:rsid w:val="004F5362"/>
    <w:rsid w:val="005030F8"/>
    <w:rsid w:val="00504FE7"/>
    <w:rsid w:val="005056DA"/>
    <w:rsid w:val="00506D66"/>
    <w:rsid w:val="00506F8A"/>
    <w:rsid w:val="00510CF4"/>
    <w:rsid w:val="00510F88"/>
    <w:rsid w:val="00511FC7"/>
    <w:rsid w:val="00517B5E"/>
    <w:rsid w:val="00521492"/>
    <w:rsid w:val="00526695"/>
    <w:rsid w:val="0052782E"/>
    <w:rsid w:val="00527CE6"/>
    <w:rsid w:val="00527EFC"/>
    <w:rsid w:val="00530D5E"/>
    <w:rsid w:val="005321BA"/>
    <w:rsid w:val="00532374"/>
    <w:rsid w:val="0053475C"/>
    <w:rsid w:val="00536CD5"/>
    <w:rsid w:val="00537E9C"/>
    <w:rsid w:val="005454AD"/>
    <w:rsid w:val="00550FBD"/>
    <w:rsid w:val="00551705"/>
    <w:rsid w:val="0055439E"/>
    <w:rsid w:val="00556CC9"/>
    <w:rsid w:val="00561ABB"/>
    <w:rsid w:val="005652F5"/>
    <w:rsid w:val="00565B0E"/>
    <w:rsid w:val="0056627E"/>
    <w:rsid w:val="00567B5F"/>
    <w:rsid w:val="005703A1"/>
    <w:rsid w:val="00571E85"/>
    <w:rsid w:val="00575881"/>
    <w:rsid w:val="00580C3D"/>
    <w:rsid w:val="00581392"/>
    <w:rsid w:val="005820CC"/>
    <w:rsid w:val="00587F9A"/>
    <w:rsid w:val="00595CE0"/>
    <w:rsid w:val="005A2647"/>
    <w:rsid w:val="005A49AA"/>
    <w:rsid w:val="005A54E5"/>
    <w:rsid w:val="005A5A5A"/>
    <w:rsid w:val="005B1EC9"/>
    <w:rsid w:val="005B23AE"/>
    <w:rsid w:val="005B57A6"/>
    <w:rsid w:val="005B6177"/>
    <w:rsid w:val="005C132D"/>
    <w:rsid w:val="005C2C6A"/>
    <w:rsid w:val="005C6801"/>
    <w:rsid w:val="005C76F6"/>
    <w:rsid w:val="005D5AC0"/>
    <w:rsid w:val="005E11DA"/>
    <w:rsid w:val="005E4E62"/>
    <w:rsid w:val="005E5E88"/>
    <w:rsid w:val="005F2639"/>
    <w:rsid w:val="005F2A17"/>
    <w:rsid w:val="005F2E44"/>
    <w:rsid w:val="005F381C"/>
    <w:rsid w:val="005F4C66"/>
    <w:rsid w:val="005F7188"/>
    <w:rsid w:val="006069B1"/>
    <w:rsid w:val="006103B4"/>
    <w:rsid w:val="00621DFB"/>
    <w:rsid w:val="006302DB"/>
    <w:rsid w:val="006324FA"/>
    <w:rsid w:val="0063779D"/>
    <w:rsid w:val="006422FE"/>
    <w:rsid w:val="00650311"/>
    <w:rsid w:val="0065052A"/>
    <w:rsid w:val="00655899"/>
    <w:rsid w:val="00660220"/>
    <w:rsid w:val="006613F0"/>
    <w:rsid w:val="00661B64"/>
    <w:rsid w:val="00662C31"/>
    <w:rsid w:val="0066451D"/>
    <w:rsid w:val="00664DE3"/>
    <w:rsid w:val="006677AE"/>
    <w:rsid w:val="00673099"/>
    <w:rsid w:val="00674409"/>
    <w:rsid w:val="0067502B"/>
    <w:rsid w:val="00675AF0"/>
    <w:rsid w:val="00676BB7"/>
    <w:rsid w:val="0068470E"/>
    <w:rsid w:val="00686503"/>
    <w:rsid w:val="00691D66"/>
    <w:rsid w:val="00693694"/>
    <w:rsid w:val="00693A05"/>
    <w:rsid w:val="0069403C"/>
    <w:rsid w:val="006B488B"/>
    <w:rsid w:val="006B5390"/>
    <w:rsid w:val="006B721C"/>
    <w:rsid w:val="006C07FA"/>
    <w:rsid w:val="006C32F7"/>
    <w:rsid w:val="006D0A05"/>
    <w:rsid w:val="006D2B7C"/>
    <w:rsid w:val="006D2E84"/>
    <w:rsid w:val="006E1DB8"/>
    <w:rsid w:val="006E2878"/>
    <w:rsid w:val="006E299A"/>
    <w:rsid w:val="006E445B"/>
    <w:rsid w:val="006E49E2"/>
    <w:rsid w:val="006F2B39"/>
    <w:rsid w:val="006F563A"/>
    <w:rsid w:val="006F78A3"/>
    <w:rsid w:val="0070245D"/>
    <w:rsid w:val="00702588"/>
    <w:rsid w:val="00706021"/>
    <w:rsid w:val="0070763F"/>
    <w:rsid w:val="007105D2"/>
    <w:rsid w:val="0071612C"/>
    <w:rsid w:val="00716AB8"/>
    <w:rsid w:val="00721C2C"/>
    <w:rsid w:val="00723995"/>
    <w:rsid w:val="00724191"/>
    <w:rsid w:val="0072534C"/>
    <w:rsid w:val="0072598C"/>
    <w:rsid w:val="00726C56"/>
    <w:rsid w:val="0073062A"/>
    <w:rsid w:val="007311F1"/>
    <w:rsid w:val="00742157"/>
    <w:rsid w:val="007432E0"/>
    <w:rsid w:val="00744A32"/>
    <w:rsid w:val="00750B4C"/>
    <w:rsid w:val="0075601A"/>
    <w:rsid w:val="00756900"/>
    <w:rsid w:val="00761EC5"/>
    <w:rsid w:val="00773CF3"/>
    <w:rsid w:val="007758CF"/>
    <w:rsid w:val="0078274C"/>
    <w:rsid w:val="007866E4"/>
    <w:rsid w:val="00790D08"/>
    <w:rsid w:val="00793329"/>
    <w:rsid w:val="00793DE0"/>
    <w:rsid w:val="00795E1E"/>
    <w:rsid w:val="007A13F8"/>
    <w:rsid w:val="007A4937"/>
    <w:rsid w:val="007A5B97"/>
    <w:rsid w:val="007A71B7"/>
    <w:rsid w:val="007B6144"/>
    <w:rsid w:val="007B77B6"/>
    <w:rsid w:val="007C0342"/>
    <w:rsid w:val="007C19C7"/>
    <w:rsid w:val="007C4128"/>
    <w:rsid w:val="007C7CFE"/>
    <w:rsid w:val="007D1355"/>
    <w:rsid w:val="007D14A8"/>
    <w:rsid w:val="007D291C"/>
    <w:rsid w:val="007D49DB"/>
    <w:rsid w:val="007F038F"/>
    <w:rsid w:val="007F0EB0"/>
    <w:rsid w:val="007F13BE"/>
    <w:rsid w:val="007F6266"/>
    <w:rsid w:val="008065A6"/>
    <w:rsid w:val="00813952"/>
    <w:rsid w:val="008139C1"/>
    <w:rsid w:val="00813AE7"/>
    <w:rsid w:val="008170C5"/>
    <w:rsid w:val="0081764B"/>
    <w:rsid w:val="00817CA6"/>
    <w:rsid w:val="0082276A"/>
    <w:rsid w:val="0083215B"/>
    <w:rsid w:val="00843FEF"/>
    <w:rsid w:val="008514A3"/>
    <w:rsid w:val="008516EF"/>
    <w:rsid w:val="00854195"/>
    <w:rsid w:val="00854520"/>
    <w:rsid w:val="008622A4"/>
    <w:rsid w:val="00866ABD"/>
    <w:rsid w:val="008843A2"/>
    <w:rsid w:val="008844E5"/>
    <w:rsid w:val="008864ED"/>
    <w:rsid w:val="00886A52"/>
    <w:rsid w:val="00886F27"/>
    <w:rsid w:val="008871BE"/>
    <w:rsid w:val="00887C7B"/>
    <w:rsid w:val="0089468B"/>
    <w:rsid w:val="00895DA8"/>
    <w:rsid w:val="00896858"/>
    <w:rsid w:val="008A2D46"/>
    <w:rsid w:val="008A3297"/>
    <w:rsid w:val="008A7556"/>
    <w:rsid w:val="008B141D"/>
    <w:rsid w:val="008B2274"/>
    <w:rsid w:val="008B28D6"/>
    <w:rsid w:val="008B5692"/>
    <w:rsid w:val="008B7BEF"/>
    <w:rsid w:val="008C0ACD"/>
    <w:rsid w:val="008C0E49"/>
    <w:rsid w:val="008C3056"/>
    <w:rsid w:val="008C30D5"/>
    <w:rsid w:val="008C4BFD"/>
    <w:rsid w:val="008C7FA2"/>
    <w:rsid w:val="008D3591"/>
    <w:rsid w:val="008D5CFC"/>
    <w:rsid w:val="008E2158"/>
    <w:rsid w:val="008E4A14"/>
    <w:rsid w:val="008F0524"/>
    <w:rsid w:val="008F12D6"/>
    <w:rsid w:val="008F1418"/>
    <w:rsid w:val="008F1FDE"/>
    <w:rsid w:val="008F4AB3"/>
    <w:rsid w:val="008F66A9"/>
    <w:rsid w:val="00901195"/>
    <w:rsid w:val="00901B60"/>
    <w:rsid w:val="00902274"/>
    <w:rsid w:val="00902A1E"/>
    <w:rsid w:val="00905A90"/>
    <w:rsid w:val="00907F79"/>
    <w:rsid w:val="00921DE5"/>
    <w:rsid w:val="00921FF0"/>
    <w:rsid w:val="00923F2B"/>
    <w:rsid w:val="00925DF1"/>
    <w:rsid w:val="00931E82"/>
    <w:rsid w:val="00937924"/>
    <w:rsid w:val="00937FAC"/>
    <w:rsid w:val="009402F5"/>
    <w:rsid w:val="00940C43"/>
    <w:rsid w:val="00943EDA"/>
    <w:rsid w:val="00952519"/>
    <w:rsid w:val="00970E61"/>
    <w:rsid w:val="009805DB"/>
    <w:rsid w:val="00985B9D"/>
    <w:rsid w:val="009906D2"/>
    <w:rsid w:val="009908EA"/>
    <w:rsid w:val="0099095F"/>
    <w:rsid w:val="00993A72"/>
    <w:rsid w:val="009A0203"/>
    <w:rsid w:val="009A722E"/>
    <w:rsid w:val="009A7AEA"/>
    <w:rsid w:val="009B1BDE"/>
    <w:rsid w:val="009B4BAF"/>
    <w:rsid w:val="009C2922"/>
    <w:rsid w:val="009C3085"/>
    <w:rsid w:val="009C5380"/>
    <w:rsid w:val="009D791F"/>
    <w:rsid w:val="009E1395"/>
    <w:rsid w:val="009F6748"/>
    <w:rsid w:val="00A03368"/>
    <w:rsid w:val="00A07971"/>
    <w:rsid w:val="00A07C0E"/>
    <w:rsid w:val="00A13891"/>
    <w:rsid w:val="00A17D77"/>
    <w:rsid w:val="00A21958"/>
    <w:rsid w:val="00A22A90"/>
    <w:rsid w:val="00A31B64"/>
    <w:rsid w:val="00A325C0"/>
    <w:rsid w:val="00A335F5"/>
    <w:rsid w:val="00A35B26"/>
    <w:rsid w:val="00A37927"/>
    <w:rsid w:val="00A43D4D"/>
    <w:rsid w:val="00A45D90"/>
    <w:rsid w:val="00A45F7A"/>
    <w:rsid w:val="00A4675E"/>
    <w:rsid w:val="00A46CD1"/>
    <w:rsid w:val="00A47286"/>
    <w:rsid w:val="00A4746D"/>
    <w:rsid w:val="00A475D6"/>
    <w:rsid w:val="00A53EA2"/>
    <w:rsid w:val="00A55573"/>
    <w:rsid w:val="00A614B0"/>
    <w:rsid w:val="00A614FB"/>
    <w:rsid w:val="00A61DDE"/>
    <w:rsid w:val="00A702A0"/>
    <w:rsid w:val="00A7338B"/>
    <w:rsid w:val="00A73E26"/>
    <w:rsid w:val="00A74696"/>
    <w:rsid w:val="00A85D45"/>
    <w:rsid w:val="00A86E44"/>
    <w:rsid w:val="00A90DB5"/>
    <w:rsid w:val="00A92042"/>
    <w:rsid w:val="00A978A9"/>
    <w:rsid w:val="00AA24F1"/>
    <w:rsid w:val="00AB266D"/>
    <w:rsid w:val="00AC6AAB"/>
    <w:rsid w:val="00AC7A78"/>
    <w:rsid w:val="00AC7F90"/>
    <w:rsid w:val="00AD0503"/>
    <w:rsid w:val="00AE4455"/>
    <w:rsid w:val="00AE4494"/>
    <w:rsid w:val="00AF4247"/>
    <w:rsid w:val="00B03FAD"/>
    <w:rsid w:val="00B109A7"/>
    <w:rsid w:val="00B11C9A"/>
    <w:rsid w:val="00B11CA2"/>
    <w:rsid w:val="00B12705"/>
    <w:rsid w:val="00B171B9"/>
    <w:rsid w:val="00B25E5A"/>
    <w:rsid w:val="00B26C59"/>
    <w:rsid w:val="00B276EE"/>
    <w:rsid w:val="00B30627"/>
    <w:rsid w:val="00B337E1"/>
    <w:rsid w:val="00B4015D"/>
    <w:rsid w:val="00B44E82"/>
    <w:rsid w:val="00B46331"/>
    <w:rsid w:val="00B46781"/>
    <w:rsid w:val="00B47B30"/>
    <w:rsid w:val="00B50A11"/>
    <w:rsid w:val="00B52E7D"/>
    <w:rsid w:val="00B55331"/>
    <w:rsid w:val="00B5565D"/>
    <w:rsid w:val="00B63850"/>
    <w:rsid w:val="00B67048"/>
    <w:rsid w:val="00B71054"/>
    <w:rsid w:val="00B72A07"/>
    <w:rsid w:val="00B72CE8"/>
    <w:rsid w:val="00B739DE"/>
    <w:rsid w:val="00B85C52"/>
    <w:rsid w:val="00B87C9E"/>
    <w:rsid w:val="00B922DD"/>
    <w:rsid w:val="00B9477C"/>
    <w:rsid w:val="00B94833"/>
    <w:rsid w:val="00BA4E88"/>
    <w:rsid w:val="00BB4064"/>
    <w:rsid w:val="00BB6966"/>
    <w:rsid w:val="00BC17D3"/>
    <w:rsid w:val="00BC66EB"/>
    <w:rsid w:val="00BD74B3"/>
    <w:rsid w:val="00BE05A8"/>
    <w:rsid w:val="00BE0745"/>
    <w:rsid w:val="00BE2884"/>
    <w:rsid w:val="00BE34ED"/>
    <w:rsid w:val="00BE6CDB"/>
    <w:rsid w:val="00BE730D"/>
    <w:rsid w:val="00BF0D21"/>
    <w:rsid w:val="00BF1388"/>
    <w:rsid w:val="00BF5D08"/>
    <w:rsid w:val="00BF7C41"/>
    <w:rsid w:val="00C00A62"/>
    <w:rsid w:val="00C01F80"/>
    <w:rsid w:val="00C03699"/>
    <w:rsid w:val="00C06FE1"/>
    <w:rsid w:val="00C11A66"/>
    <w:rsid w:val="00C13D52"/>
    <w:rsid w:val="00C15CAE"/>
    <w:rsid w:val="00C17512"/>
    <w:rsid w:val="00C200A1"/>
    <w:rsid w:val="00C20AA6"/>
    <w:rsid w:val="00C263D0"/>
    <w:rsid w:val="00C26877"/>
    <w:rsid w:val="00C30F61"/>
    <w:rsid w:val="00C32FDF"/>
    <w:rsid w:val="00C35DF5"/>
    <w:rsid w:val="00C37A64"/>
    <w:rsid w:val="00C40B6D"/>
    <w:rsid w:val="00C44BC3"/>
    <w:rsid w:val="00C45F1E"/>
    <w:rsid w:val="00C47BD8"/>
    <w:rsid w:val="00C60596"/>
    <w:rsid w:val="00C61469"/>
    <w:rsid w:val="00C620C0"/>
    <w:rsid w:val="00C6231C"/>
    <w:rsid w:val="00C63FE4"/>
    <w:rsid w:val="00C664CC"/>
    <w:rsid w:val="00C67081"/>
    <w:rsid w:val="00C751C1"/>
    <w:rsid w:val="00C755C3"/>
    <w:rsid w:val="00C838A7"/>
    <w:rsid w:val="00C86922"/>
    <w:rsid w:val="00C942FA"/>
    <w:rsid w:val="00C96816"/>
    <w:rsid w:val="00CA0E44"/>
    <w:rsid w:val="00CA44C5"/>
    <w:rsid w:val="00CA48B2"/>
    <w:rsid w:val="00CA4ABF"/>
    <w:rsid w:val="00CA5AE0"/>
    <w:rsid w:val="00CB2439"/>
    <w:rsid w:val="00CC0A5B"/>
    <w:rsid w:val="00CC118F"/>
    <w:rsid w:val="00CC3411"/>
    <w:rsid w:val="00CC368D"/>
    <w:rsid w:val="00CC4B39"/>
    <w:rsid w:val="00CC7605"/>
    <w:rsid w:val="00CD5946"/>
    <w:rsid w:val="00CE3032"/>
    <w:rsid w:val="00CE5494"/>
    <w:rsid w:val="00CF14BB"/>
    <w:rsid w:val="00CF38AB"/>
    <w:rsid w:val="00CF6D33"/>
    <w:rsid w:val="00CF72F5"/>
    <w:rsid w:val="00D004B8"/>
    <w:rsid w:val="00D02FD6"/>
    <w:rsid w:val="00D15FE9"/>
    <w:rsid w:val="00D16051"/>
    <w:rsid w:val="00D20840"/>
    <w:rsid w:val="00D21767"/>
    <w:rsid w:val="00D318C0"/>
    <w:rsid w:val="00D352CB"/>
    <w:rsid w:val="00D354FE"/>
    <w:rsid w:val="00D42002"/>
    <w:rsid w:val="00D423DA"/>
    <w:rsid w:val="00D43732"/>
    <w:rsid w:val="00D465D2"/>
    <w:rsid w:val="00D46D20"/>
    <w:rsid w:val="00D46D58"/>
    <w:rsid w:val="00D46E26"/>
    <w:rsid w:val="00D47643"/>
    <w:rsid w:val="00D51825"/>
    <w:rsid w:val="00D51BD3"/>
    <w:rsid w:val="00D51C84"/>
    <w:rsid w:val="00D51F4E"/>
    <w:rsid w:val="00D535D5"/>
    <w:rsid w:val="00D54960"/>
    <w:rsid w:val="00D55C1C"/>
    <w:rsid w:val="00D56BCB"/>
    <w:rsid w:val="00D615E7"/>
    <w:rsid w:val="00D648B2"/>
    <w:rsid w:val="00D66ED3"/>
    <w:rsid w:val="00D6776D"/>
    <w:rsid w:val="00D70D27"/>
    <w:rsid w:val="00D86312"/>
    <w:rsid w:val="00D86F8B"/>
    <w:rsid w:val="00D935F0"/>
    <w:rsid w:val="00D94568"/>
    <w:rsid w:val="00D9467A"/>
    <w:rsid w:val="00D972BE"/>
    <w:rsid w:val="00DA4630"/>
    <w:rsid w:val="00DA52B1"/>
    <w:rsid w:val="00DB5DD6"/>
    <w:rsid w:val="00DD4C04"/>
    <w:rsid w:val="00DD6049"/>
    <w:rsid w:val="00DE329E"/>
    <w:rsid w:val="00DE3439"/>
    <w:rsid w:val="00DE4E7C"/>
    <w:rsid w:val="00DF2965"/>
    <w:rsid w:val="00DF5575"/>
    <w:rsid w:val="00DF5B07"/>
    <w:rsid w:val="00DF7B84"/>
    <w:rsid w:val="00E0469D"/>
    <w:rsid w:val="00E25EC2"/>
    <w:rsid w:val="00E268D2"/>
    <w:rsid w:val="00E274AF"/>
    <w:rsid w:val="00E3381C"/>
    <w:rsid w:val="00E35B98"/>
    <w:rsid w:val="00E361AA"/>
    <w:rsid w:val="00E40F66"/>
    <w:rsid w:val="00E43CED"/>
    <w:rsid w:val="00E47620"/>
    <w:rsid w:val="00E503CA"/>
    <w:rsid w:val="00E532E2"/>
    <w:rsid w:val="00E56B80"/>
    <w:rsid w:val="00E6013F"/>
    <w:rsid w:val="00E62C2E"/>
    <w:rsid w:val="00E633EA"/>
    <w:rsid w:val="00E66F4E"/>
    <w:rsid w:val="00E673B5"/>
    <w:rsid w:val="00E84CC1"/>
    <w:rsid w:val="00E85304"/>
    <w:rsid w:val="00E8592C"/>
    <w:rsid w:val="00E8786C"/>
    <w:rsid w:val="00EA27FD"/>
    <w:rsid w:val="00EA7D06"/>
    <w:rsid w:val="00EA7EE1"/>
    <w:rsid w:val="00EB1637"/>
    <w:rsid w:val="00EB1C75"/>
    <w:rsid w:val="00EB2B60"/>
    <w:rsid w:val="00EB7E01"/>
    <w:rsid w:val="00EC2A93"/>
    <w:rsid w:val="00EC485B"/>
    <w:rsid w:val="00EC61F7"/>
    <w:rsid w:val="00ED01FB"/>
    <w:rsid w:val="00EE0A4E"/>
    <w:rsid w:val="00EE1310"/>
    <w:rsid w:val="00EE3133"/>
    <w:rsid w:val="00EE4427"/>
    <w:rsid w:val="00EF10A0"/>
    <w:rsid w:val="00EF11A3"/>
    <w:rsid w:val="00EF11A5"/>
    <w:rsid w:val="00EF1A18"/>
    <w:rsid w:val="00EF29C4"/>
    <w:rsid w:val="00F01AD3"/>
    <w:rsid w:val="00F03792"/>
    <w:rsid w:val="00F05540"/>
    <w:rsid w:val="00F0789A"/>
    <w:rsid w:val="00F10B8C"/>
    <w:rsid w:val="00F1423B"/>
    <w:rsid w:val="00F15D78"/>
    <w:rsid w:val="00F20C86"/>
    <w:rsid w:val="00F2211D"/>
    <w:rsid w:val="00F26758"/>
    <w:rsid w:val="00F30A89"/>
    <w:rsid w:val="00F30F92"/>
    <w:rsid w:val="00F365B7"/>
    <w:rsid w:val="00F37AE4"/>
    <w:rsid w:val="00F37B1B"/>
    <w:rsid w:val="00F41E71"/>
    <w:rsid w:val="00F434CF"/>
    <w:rsid w:val="00F46B53"/>
    <w:rsid w:val="00F47327"/>
    <w:rsid w:val="00F479CF"/>
    <w:rsid w:val="00F50E17"/>
    <w:rsid w:val="00F50FD5"/>
    <w:rsid w:val="00F54908"/>
    <w:rsid w:val="00F57BD4"/>
    <w:rsid w:val="00F60A04"/>
    <w:rsid w:val="00F61127"/>
    <w:rsid w:val="00F6393B"/>
    <w:rsid w:val="00F648D7"/>
    <w:rsid w:val="00F76302"/>
    <w:rsid w:val="00F81E7A"/>
    <w:rsid w:val="00F822BD"/>
    <w:rsid w:val="00F83E01"/>
    <w:rsid w:val="00F84C13"/>
    <w:rsid w:val="00F90688"/>
    <w:rsid w:val="00F9399A"/>
    <w:rsid w:val="00F94F96"/>
    <w:rsid w:val="00F97D50"/>
    <w:rsid w:val="00FA1BE2"/>
    <w:rsid w:val="00FA3447"/>
    <w:rsid w:val="00FA483A"/>
    <w:rsid w:val="00FB00BC"/>
    <w:rsid w:val="00FB1F21"/>
    <w:rsid w:val="00FC3BB4"/>
    <w:rsid w:val="00FC6004"/>
    <w:rsid w:val="00FC76F6"/>
    <w:rsid w:val="00FD2F29"/>
    <w:rsid w:val="00FD7608"/>
    <w:rsid w:val="00FF0CC6"/>
    <w:rsid w:val="00FF462A"/>
    <w:rsid w:val="00FF59EF"/>
    <w:rsid w:val="00FF735C"/>
    <w:rsid w:val="08F687E9"/>
    <w:rsid w:val="10D44368"/>
    <w:rsid w:val="1BA25729"/>
    <w:rsid w:val="1C3AEFF5"/>
    <w:rsid w:val="21B846F4"/>
    <w:rsid w:val="4B5C4AAE"/>
    <w:rsid w:val="6EAED446"/>
    <w:rsid w:val="7C2B83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88EC0"/>
  <w15:chartTrackingRefBased/>
  <w15:docId w15:val="{67088A13-F905-4CE8-BC3B-175477D7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44"/>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link w:val="Heading1Char"/>
    <w:uiPriority w:val="9"/>
    <w:qFormat/>
    <w:rsid w:val="005F2E44"/>
    <w:pPr>
      <w:spacing w:before="100" w:beforeAutospacing="1" w:after="100" w:afterAutospacing="1" w:line="264" w:lineRule="atLeast"/>
      <w:outlineLvl w:val="0"/>
    </w:pPr>
    <w:rPr>
      <w:b/>
      <w:bCs/>
      <w:kern w:val="36"/>
      <w:sz w:val="36"/>
      <w:szCs w:val="36"/>
    </w:rPr>
  </w:style>
  <w:style w:type="paragraph" w:styleId="Heading2">
    <w:name w:val="heading 2"/>
    <w:basedOn w:val="Normal"/>
    <w:next w:val="Normal"/>
    <w:link w:val="Heading2Char"/>
    <w:uiPriority w:val="9"/>
    <w:unhideWhenUsed/>
    <w:qFormat/>
    <w:rsid w:val="005A54E5"/>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uiPriority w:val="9"/>
    <w:unhideWhenUsed/>
    <w:qFormat/>
    <w:rsid w:val="0048625E"/>
    <w:pPr>
      <w:keepNext/>
      <w:keepLines/>
      <w:spacing w:before="40"/>
      <w:outlineLvl w:val="2"/>
    </w:pPr>
    <w:rPr>
      <w:rFonts w:ascii="Arial" w:eastAsiaTheme="majorEastAsia" w:hAnsi="Arial"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E44"/>
    <w:rPr>
      <w:rFonts w:ascii="Times New Roman" w:eastAsia="Times New Roman" w:hAnsi="Times New Roman" w:cs="Times New Roman"/>
      <w:b/>
      <w:bCs/>
      <w:kern w:val="36"/>
      <w:sz w:val="36"/>
      <w:szCs w:val="36"/>
      <w:lang w:eastAsia="en-GB"/>
    </w:rPr>
  </w:style>
  <w:style w:type="character" w:styleId="Hyperlink">
    <w:name w:val="Hyperlink"/>
    <w:uiPriority w:val="99"/>
    <w:rsid w:val="005F2E44"/>
    <w:rPr>
      <w:color w:val="0000FF"/>
      <w:u w:val="single"/>
    </w:rPr>
  </w:style>
  <w:style w:type="paragraph" w:styleId="FootnoteText">
    <w:name w:val="footnote text"/>
    <w:basedOn w:val="Normal"/>
    <w:link w:val="FootnoteTextChar"/>
    <w:uiPriority w:val="99"/>
    <w:semiHidden/>
    <w:rsid w:val="005F2E44"/>
    <w:rPr>
      <w:sz w:val="20"/>
      <w:szCs w:val="20"/>
    </w:rPr>
  </w:style>
  <w:style w:type="character" w:customStyle="1" w:styleId="FootnoteTextChar">
    <w:name w:val="Footnote Text Char"/>
    <w:basedOn w:val="DefaultParagraphFont"/>
    <w:link w:val="FootnoteText"/>
    <w:uiPriority w:val="99"/>
    <w:semiHidden/>
    <w:rsid w:val="005F2E44"/>
    <w:rPr>
      <w:rFonts w:ascii="Times New Roman" w:eastAsia="Times New Roman" w:hAnsi="Times New Roman" w:cs="Times New Roman"/>
      <w:kern w:val="0"/>
      <w:sz w:val="20"/>
      <w:szCs w:val="20"/>
      <w:lang w:eastAsia="en-GB"/>
    </w:rPr>
  </w:style>
  <w:style w:type="character" w:styleId="FootnoteReference">
    <w:name w:val="footnote reference"/>
    <w:uiPriority w:val="99"/>
    <w:semiHidden/>
    <w:rsid w:val="005F2E44"/>
    <w:rPr>
      <w:vertAlign w:val="superscript"/>
    </w:rPr>
  </w:style>
  <w:style w:type="paragraph" w:styleId="Header">
    <w:name w:val="header"/>
    <w:basedOn w:val="Normal"/>
    <w:link w:val="HeaderChar"/>
    <w:uiPriority w:val="99"/>
    <w:rsid w:val="005F2E44"/>
    <w:pPr>
      <w:tabs>
        <w:tab w:val="center" w:pos="4153"/>
        <w:tab w:val="right" w:pos="8306"/>
      </w:tabs>
    </w:pPr>
  </w:style>
  <w:style w:type="character" w:customStyle="1" w:styleId="HeaderChar">
    <w:name w:val="Header Char"/>
    <w:basedOn w:val="DefaultParagraphFont"/>
    <w:link w:val="Header"/>
    <w:uiPriority w:val="99"/>
    <w:rsid w:val="005F2E44"/>
    <w:rPr>
      <w:rFonts w:ascii="Times New Roman" w:eastAsia="Times New Roman" w:hAnsi="Times New Roman" w:cs="Times New Roman"/>
      <w:kern w:val="0"/>
      <w:sz w:val="24"/>
      <w:szCs w:val="24"/>
      <w:lang w:eastAsia="en-GB"/>
    </w:rPr>
  </w:style>
  <w:style w:type="paragraph" w:styleId="Footer">
    <w:name w:val="footer"/>
    <w:basedOn w:val="Normal"/>
    <w:link w:val="FooterChar"/>
    <w:uiPriority w:val="99"/>
    <w:rsid w:val="005F2E44"/>
    <w:pPr>
      <w:tabs>
        <w:tab w:val="center" w:pos="4153"/>
        <w:tab w:val="right" w:pos="8306"/>
      </w:tabs>
    </w:pPr>
  </w:style>
  <w:style w:type="character" w:customStyle="1" w:styleId="FooterChar">
    <w:name w:val="Footer Char"/>
    <w:basedOn w:val="DefaultParagraphFont"/>
    <w:link w:val="Footer"/>
    <w:uiPriority w:val="99"/>
    <w:rsid w:val="005F2E44"/>
    <w:rPr>
      <w:rFonts w:ascii="Times New Roman" w:eastAsia="Times New Roman" w:hAnsi="Times New Roman" w:cs="Times New Roman"/>
      <w:kern w:val="0"/>
      <w:sz w:val="24"/>
      <w:szCs w:val="24"/>
      <w:lang w:eastAsia="en-GB"/>
    </w:rPr>
  </w:style>
  <w:style w:type="character" w:styleId="PageNumber">
    <w:name w:val="page number"/>
    <w:uiPriority w:val="99"/>
    <w:rsid w:val="005F2E44"/>
    <w:rPr>
      <w:rFonts w:cs="Times New Roman"/>
    </w:rPr>
  </w:style>
  <w:style w:type="paragraph" w:customStyle="1" w:styleId="Default">
    <w:name w:val="Default"/>
    <w:rsid w:val="005F2E44"/>
    <w:pPr>
      <w:autoSpaceDE w:val="0"/>
      <w:autoSpaceDN w:val="0"/>
      <w:adjustRightInd w:val="0"/>
      <w:spacing w:after="0" w:line="240" w:lineRule="auto"/>
    </w:pPr>
    <w:rPr>
      <w:rFonts w:ascii="Arial" w:eastAsia="Times New Roman" w:hAnsi="Arial" w:cs="Arial"/>
      <w:color w:val="000000"/>
      <w:kern w:val="0"/>
      <w:sz w:val="24"/>
      <w:szCs w:val="24"/>
      <w:lang w:eastAsia="en-GB"/>
    </w:rPr>
  </w:style>
  <w:style w:type="paragraph" w:styleId="ListParagraph">
    <w:name w:val="List Paragraph"/>
    <w:basedOn w:val="Normal"/>
    <w:uiPriority w:val="34"/>
    <w:qFormat/>
    <w:rsid w:val="005F2E44"/>
    <w:pPr>
      <w:ind w:left="720"/>
      <w:contextualSpacing/>
    </w:pPr>
  </w:style>
  <w:style w:type="table" w:styleId="TableGrid">
    <w:name w:val="Table Grid"/>
    <w:basedOn w:val="TableNormal"/>
    <w:uiPriority w:val="39"/>
    <w:rsid w:val="005F2E44"/>
    <w:pPr>
      <w:spacing w:after="0" w:line="240" w:lineRule="auto"/>
    </w:pPr>
    <w:rPr>
      <w:rFonts w:ascii="Times New Roman" w:eastAsia="Times New Roman" w:hAnsi="Times New Roman" w:cs="Times New Roman"/>
      <w:kern w:val="0"/>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Default"/>
    <w:next w:val="Default"/>
    <w:uiPriority w:val="99"/>
    <w:rsid w:val="005F2E44"/>
    <w:rPr>
      <w:rFonts w:ascii="Calibri" w:eastAsia="Arial" w:hAnsi="Calibri" w:cs="Calibri"/>
      <w:color w:val="auto"/>
    </w:rPr>
  </w:style>
  <w:style w:type="character" w:customStyle="1" w:styleId="Heading2Char">
    <w:name w:val="Heading 2 Char"/>
    <w:basedOn w:val="DefaultParagraphFont"/>
    <w:link w:val="Heading2"/>
    <w:uiPriority w:val="9"/>
    <w:rsid w:val="005A54E5"/>
    <w:rPr>
      <w:rFonts w:ascii="Arial" w:eastAsiaTheme="majorEastAsia" w:hAnsi="Arial" w:cstheme="majorBidi"/>
      <w:kern w:val="0"/>
      <w:sz w:val="32"/>
      <w:szCs w:val="26"/>
      <w:lang w:eastAsia="en-GB"/>
    </w:rPr>
  </w:style>
  <w:style w:type="paragraph" w:styleId="TOCHeading">
    <w:name w:val="TOC Heading"/>
    <w:basedOn w:val="Heading1"/>
    <w:next w:val="Normal"/>
    <w:uiPriority w:val="39"/>
    <w:unhideWhenUsed/>
    <w:qFormat/>
    <w:rsid w:val="00151D5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F46B53"/>
    <w:pPr>
      <w:tabs>
        <w:tab w:val="left" w:pos="660"/>
        <w:tab w:val="right" w:leader="dot" w:pos="9923"/>
      </w:tabs>
      <w:spacing w:before="60"/>
      <w:ind w:left="709" w:hanging="709"/>
    </w:pPr>
  </w:style>
  <w:style w:type="paragraph" w:styleId="TOC1">
    <w:name w:val="toc 1"/>
    <w:basedOn w:val="Normal"/>
    <w:next w:val="Normal"/>
    <w:autoRedefine/>
    <w:uiPriority w:val="39"/>
    <w:unhideWhenUsed/>
    <w:rsid w:val="004F5362"/>
    <w:pPr>
      <w:tabs>
        <w:tab w:val="right" w:leader="dot" w:pos="9923"/>
      </w:tabs>
      <w:spacing w:before="60"/>
    </w:pPr>
    <w:rPr>
      <w:rFonts w:ascii="Arial" w:eastAsiaTheme="minorHAnsi" w:hAnsi="Arial" w:cs="Arial"/>
      <w:b/>
      <w:bCs/>
      <w:noProof/>
      <w:lang w:eastAsia="en-US"/>
    </w:rPr>
  </w:style>
  <w:style w:type="character" w:styleId="UnresolvedMention">
    <w:name w:val="Unresolved Mention"/>
    <w:basedOn w:val="DefaultParagraphFont"/>
    <w:uiPriority w:val="99"/>
    <w:semiHidden/>
    <w:unhideWhenUsed/>
    <w:rsid w:val="00E3381C"/>
    <w:rPr>
      <w:color w:val="605E5C"/>
      <w:shd w:val="clear" w:color="auto" w:fill="E1DFDD"/>
    </w:rPr>
  </w:style>
  <w:style w:type="character" w:styleId="FollowedHyperlink">
    <w:name w:val="FollowedHyperlink"/>
    <w:basedOn w:val="DefaultParagraphFont"/>
    <w:uiPriority w:val="99"/>
    <w:semiHidden/>
    <w:unhideWhenUsed/>
    <w:rsid w:val="003F7923"/>
    <w:rPr>
      <w:color w:val="954F72" w:themeColor="followedHyperlink"/>
      <w:u w:val="single"/>
    </w:rPr>
  </w:style>
  <w:style w:type="character" w:customStyle="1" w:styleId="Heading3Char">
    <w:name w:val="Heading 3 Char"/>
    <w:basedOn w:val="DefaultParagraphFont"/>
    <w:link w:val="Heading3"/>
    <w:uiPriority w:val="9"/>
    <w:rsid w:val="0048625E"/>
    <w:rPr>
      <w:rFonts w:ascii="Arial" w:eastAsiaTheme="majorEastAsia" w:hAnsi="Arial" w:cstheme="majorBidi"/>
      <w:kern w:val="0"/>
      <w:sz w:val="28"/>
      <w:szCs w:val="24"/>
      <w:lang w:eastAsia="en-GB"/>
    </w:rPr>
  </w:style>
  <w:style w:type="character" w:styleId="CommentReference">
    <w:name w:val="annotation reference"/>
    <w:basedOn w:val="DefaultParagraphFont"/>
    <w:uiPriority w:val="99"/>
    <w:semiHidden/>
    <w:unhideWhenUsed/>
    <w:rsid w:val="00556CC9"/>
    <w:rPr>
      <w:sz w:val="16"/>
      <w:szCs w:val="16"/>
    </w:rPr>
  </w:style>
  <w:style w:type="paragraph" w:styleId="CommentText">
    <w:name w:val="annotation text"/>
    <w:basedOn w:val="Normal"/>
    <w:link w:val="CommentTextChar"/>
    <w:uiPriority w:val="99"/>
    <w:unhideWhenUsed/>
    <w:rsid w:val="00556CC9"/>
    <w:rPr>
      <w:sz w:val="20"/>
      <w:szCs w:val="20"/>
    </w:rPr>
  </w:style>
  <w:style w:type="character" w:customStyle="1" w:styleId="CommentTextChar">
    <w:name w:val="Comment Text Char"/>
    <w:basedOn w:val="DefaultParagraphFont"/>
    <w:link w:val="CommentText"/>
    <w:uiPriority w:val="99"/>
    <w:rsid w:val="00556CC9"/>
    <w:rPr>
      <w:rFonts w:ascii="Times New Roman" w:eastAsia="Times New Roman" w:hAnsi="Times New Roman" w:cs="Times New Roman"/>
      <w:kern w:val="0"/>
      <w:sz w:val="20"/>
      <w:szCs w:val="20"/>
      <w:lang w:eastAsia="en-GB"/>
    </w:rPr>
  </w:style>
  <w:style w:type="paragraph" w:styleId="CommentSubject">
    <w:name w:val="annotation subject"/>
    <w:basedOn w:val="CommentText"/>
    <w:next w:val="CommentText"/>
    <w:link w:val="CommentSubjectChar"/>
    <w:uiPriority w:val="99"/>
    <w:semiHidden/>
    <w:unhideWhenUsed/>
    <w:rsid w:val="00556CC9"/>
    <w:rPr>
      <w:b/>
      <w:bCs/>
    </w:rPr>
  </w:style>
  <w:style w:type="character" w:customStyle="1" w:styleId="CommentSubjectChar">
    <w:name w:val="Comment Subject Char"/>
    <w:basedOn w:val="CommentTextChar"/>
    <w:link w:val="CommentSubject"/>
    <w:uiPriority w:val="99"/>
    <w:semiHidden/>
    <w:rsid w:val="00556CC9"/>
    <w:rPr>
      <w:rFonts w:ascii="Times New Roman" w:eastAsia="Times New Roman" w:hAnsi="Times New Roman" w:cs="Times New Roman"/>
      <w:b/>
      <w:bCs/>
      <w:kern w:val="0"/>
      <w:sz w:val="20"/>
      <w:szCs w:val="20"/>
      <w:lang w:eastAsia="en-GB"/>
    </w:rPr>
  </w:style>
  <w:style w:type="paragraph" w:styleId="TOC3">
    <w:name w:val="toc 3"/>
    <w:basedOn w:val="Normal"/>
    <w:next w:val="Normal"/>
    <w:autoRedefine/>
    <w:uiPriority w:val="39"/>
    <w:unhideWhenUsed/>
    <w:rsid w:val="00F46B53"/>
    <w:pPr>
      <w:tabs>
        <w:tab w:val="right" w:leader="dot" w:pos="9923"/>
      </w:tabs>
      <w:spacing w:before="60"/>
      <w:ind w:left="709"/>
    </w:pPr>
  </w:style>
  <w:style w:type="paragraph" w:styleId="Revision">
    <w:name w:val="Revision"/>
    <w:hidden/>
    <w:uiPriority w:val="99"/>
    <w:semiHidden/>
    <w:rsid w:val="0081764B"/>
    <w:pPr>
      <w:spacing w:after="0"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8119">
      <w:bodyDiv w:val="1"/>
      <w:marLeft w:val="0"/>
      <w:marRight w:val="0"/>
      <w:marTop w:val="0"/>
      <w:marBottom w:val="0"/>
      <w:divBdr>
        <w:top w:val="none" w:sz="0" w:space="0" w:color="auto"/>
        <w:left w:val="none" w:sz="0" w:space="0" w:color="auto"/>
        <w:bottom w:val="none" w:sz="0" w:space="0" w:color="auto"/>
        <w:right w:val="none" w:sz="0" w:space="0" w:color="auto"/>
      </w:divBdr>
    </w:div>
    <w:div w:id="340470941">
      <w:bodyDiv w:val="1"/>
      <w:marLeft w:val="0"/>
      <w:marRight w:val="0"/>
      <w:marTop w:val="0"/>
      <w:marBottom w:val="0"/>
      <w:divBdr>
        <w:top w:val="none" w:sz="0" w:space="0" w:color="auto"/>
        <w:left w:val="none" w:sz="0" w:space="0" w:color="auto"/>
        <w:bottom w:val="none" w:sz="0" w:space="0" w:color="auto"/>
        <w:right w:val="none" w:sz="0" w:space="0" w:color="auto"/>
      </w:divBdr>
      <w:divsChild>
        <w:div w:id="44961118">
          <w:marLeft w:val="0"/>
          <w:marRight w:val="0"/>
          <w:marTop w:val="0"/>
          <w:marBottom w:val="0"/>
          <w:divBdr>
            <w:top w:val="none" w:sz="0" w:space="0" w:color="auto"/>
            <w:left w:val="none" w:sz="0" w:space="0" w:color="auto"/>
            <w:bottom w:val="none" w:sz="0" w:space="0" w:color="auto"/>
            <w:right w:val="none" w:sz="0" w:space="0" w:color="auto"/>
          </w:divBdr>
          <w:divsChild>
            <w:div w:id="223296052">
              <w:marLeft w:val="0"/>
              <w:marRight w:val="0"/>
              <w:marTop w:val="0"/>
              <w:marBottom w:val="0"/>
              <w:divBdr>
                <w:top w:val="none" w:sz="0" w:space="0" w:color="auto"/>
                <w:left w:val="none" w:sz="0" w:space="0" w:color="auto"/>
                <w:bottom w:val="none" w:sz="0" w:space="0" w:color="auto"/>
                <w:right w:val="none" w:sz="0" w:space="0" w:color="auto"/>
              </w:divBdr>
            </w:div>
          </w:divsChild>
        </w:div>
        <w:div w:id="191958177">
          <w:marLeft w:val="0"/>
          <w:marRight w:val="0"/>
          <w:marTop w:val="0"/>
          <w:marBottom w:val="0"/>
          <w:divBdr>
            <w:top w:val="none" w:sz="0" w:space="0" w:color="auto"/>
            <w:left w:val="none" w:sz="0" w:space="0" w:color="auto"/>
            <w:bottom w:val="none" w:sz="0" w:space="0" w:color="auto"/>
            <w:right w:val="none" w:sz="0" w:space="0" w:color="auto"/>
          </w:divBdr>
          <w:divsChild>
            <w:div w:id="141504352">
              <w:marLeft w:val="0"/>
              <w:marRight w:val="0"/>
              <w:marTop w:val="0"/>
              <w:marBottom w:val="0"/>
              <w:divBdr>
                <w:top w:val="none" w:sz="0" w:space="0" w:color="auto"/>
                <w:left w:val="none" w:sz="0" w:space="0" w:color="auto"/>
                <w:bottom w:val="none" w:sz="0" w:space="0" w:color="auto"/>
                <w:right w:val="none" w:sz="0" w:space="0" w:color="auto"/>
              </w:divBdr>
            </w:div>
            <w:div w:id="521630716">
              <w:marLeft w:val="0"/>
              <w:marRight w:val="0"/>
              <w:marTop w:val="0"/>
              <w:marBottom w:val="0"/>
              <w:divBdr>
                <w:top w:val="none" w:sz="0" w:space="0" w:color="auto"/>
                <w:left w:val="none" w:sz="0" w:space="0" w:color="auto"/>
                <w:bottom w:val="none" w:sz="0" w:space="0" w:color="auto"/>
                <w:right w:val="none" w:sz="0" w:space="0" w:color="auto"/>
              </w:divBdr>
            </w:div>
            <w:div w:id="1067150150">
              <w:marLeft w:val="0"/>
              <w:marRight w:val="0"/>
              <w:marTop w:val="0"/>
              <w:marBottom w:val="0"/>
              <w:divBdr>
                <w:top w:val="none" w:sz="0" w:space="0" w:color="auto"/>
                <w:left w:val="none" w:sz="0" w:space="0" w:color="auto"/>
                <w:bottom w:val="none" w:sz="0" w:space="0" w:color="auto"/>
                <w:right w:val="none" w:sz="0" w:space="0" w:color="auto"/>
              </w:divBdr>
            </w:div>
            <w:div w:id="1255481058">
              <w:marLeft w:val="0"/>
              <w:marRight w:val="0"/>
              <w:marTop w:val="0"/>
              <w:marBottom w:val="0"/>
              <w:divBdr>
                <w:top w:val="none" w:sz="0" w:space="0" w:color="auto"/>
                <w:left w:val="none" w:sz="0" w:space="0" w:color="auto"/>
                <w:bottom w:val="none" w:sz="0" w:space="0" w:color="auto"/>
                <w:right w:val="none" w:sz="0" w:space="0" w:color="auto"/>
              </w:divBdr>
            </w:div>
            <w:div w:id="1432428363">
              <w:marLeft w:val="0"/>
              <w:marRight w:val="0"/>
              <w:marTop w:val="0"/>
              <w:marBottom w:val="0"/>
              <w:divBdr>
                <w:top w:val="none" w:sz="0" w:space="0" w:color="auto"/>
                <w:left w:val="none" w:sz="0" w:space="0" w:color="auto"/>
                <w:bottom w:val="none" w:sz="0" w:space="0" w:color="auto"/>
                <w:right w:val="none" w:sz="0" w:space="0" w:color="auto"/>
              </w:divBdr>
            </w:div>
          </w:divsChild>
        </w:div>
        <w:div w:id="1279023129">
          <w:marLeft w:val="0"/>
          <w:marRight w:val="0"/>
          <w:marTop w:val="0"/>
          <w:marBottom w:val="0"/>
          <w:divBdr>
            <w:top w:val="none" w:sz="0" w:space="0" w:color="auto"/>
            <w:left w:val="none" w:sz="0" w:space="0" w:color="auto"/>
            <w:bottom w:val="none" w:sz="0" w:space="0" w:color="auto"/>
            <w:right w:val="none" w:sz="0" w:space="0" w:color="auto"/>
          </w:divBdr>
          <w:divsChild>
            <w:div w:id="540676639">
              <w:marLeft w:val="0"/>
              <w:marRight w:val="0"/>
              <w:marTop w:val="0"/>
              <w:marBottom w:val="0"/>
              <w:divBdr>
                <w:top w:val="none" w:sz="0" w:space="0" w:color="auto"/>
                <w:left w:val="none" w:sz="0" w:space="0" w:color="auto"/>
                <w:bottom w:val="none" w:sz="0" w:space="0" w:color="auto"/>
                <w:right w:val="none" w:sz="0" w:space="0" w:color="auto"/>
              </w:divBdr>
            </w:div>
          </w:divsChild>
        </w:div>
        <w:div w:id="1604606572">
          <w:marLeft w:val="0"/>
          <w:marRight w:val="0"/>
          <w:marTop w:val="0"/>
          <w:marBottom w:val="0"/>
          <w:divBdr>
            <w:top w:val="none" w:sz="0" w:space="0" w:color="auto"/>
            <w:left w:val="none" w:sz="0" w:space="0" w:color="auto"/>
            <w:bottom w:val="none" w:sz="0" w:space="0" w:color="auto"/>
            <w:right w:val="none" w:sz="0" w:space="0" w:color="auto"/>
          </w:divBdr>
          <w:divsChild>
            <w:div w:id="12731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7145">
      <w:bodyDiv w:val="1"/>
      <w:marLeft w:val="0"/>
      <w:marRight w:val="0"/>
      <w:marTop w:val="0"/>
      <w:marBottom w:val="0"/>
      <w:divBdr>
        <w:top w:val="none" w:sz="0" w:space="0" w:color="auto"/>
        <w:left w:val="none" w:sz="0" w:space="0" w:color="auto"/>
        <w:bottom w:val="none" w:sz="0" w:space="0" w:color="auto"/>
        <w:right w:val="none" w:sz="0" w:space="0" w:color="auto"/>
      </w:divBdr>
    </w:div>
    <w:div w:id="1527866637">
      <w:bodyDiv w:val="1"/>
      <w:marLeft w:val="0"/>
      <w:marRight w:val="0"/>
      <w:marTop w:val="0"/>
      <w:marBottom w:val="0"/>
      <w:divBdr>
        <w:top w:val="none" w:sz="0" w:space="0" w:color="auto"/>
        <w:left w:val="none" w:sz="0" w:space="0" w:color="auto"/>
        <w:bottom w:val="none" w:sz="0" w:space="0" w:color="auto"/>
        <w:right w:val="none" w:sz="0" w:space="0" w:color="auto"/>
      </w:divBdr>
      <w:divsChild>
        <w:div w:id="386952742">
          <w:marLeft w:val="0"/>
          <w:marRight w:val="0"/>
          <w:marTop w:val="0"/>
          <w:marBottom w:val="0"/>
          <w:divBdr>
            <w:top w:val="none" w:sz="0" w:space="0" w:color="auto"/>
            <w:left w:val="none" w:sz="0" w:space="0" w:color="auto"/>
            <w:bottom w:val="none" w:sz="0" w:space="0" w:color="auto"/>
            <w:right w:val="none" w:sz="0" w:space="0" w:color="auto"/>
          </w:divBdr>
          <w:divsChild>
            <w:div w:id="476654143">
              <w:marLeft w:val="0"/>
              <w:marRight w:val="0"/>
              <w:marTop w:val="0"/>
              <w:marBottom w:val="0"/>
              <w:divBdr>
                <w:top w:val="none" w:sz="0" w:space="0" w:color="auto"/>
                <w:left w:val="none" w:sz="0" w:space="0" w:color="auto"/>
                <w:bottom w:val="none" w:sz="0" w:space="0" w:color="auto"/>
                <w:right w:val="none" w:sz="0" w:space="0" w:color="auto"/>
              </w:divBdr>
            </w:div>
            <w:div w:id="767623810">
              <w:marLeft w:val="0"/>
              <w:marRight w:val="0"/>
              <w:marTop w:val="0"/>
              <w:marBottom w:val="0"/>
              <w:divBdr>
                <w:top w:val="none" w:sz="0" w:space="0" w:color="auto"/>
                <w:left w:val="none" w:sz="0" w:space="0" w:color="auto"/>
                <w:bottom w:val="none" w:sz="0" w:space="0" w:color="auto"/>
                <w:right w:val="none" w:sz="0" w:space="0" w:color="auto"/>
              </w:divBdr>
            </w:div>
            <w:div w:id="868646654">
              <w:marLeft w:val="0"/>
              <w:marRight w:val="0"/>
              <w:marTop w:val="0"/>
              <w:marBottom w:val="0"/>
              <w:divBdr>
                <w:top w:val="none" w:sz="0" w:space="0" w:color="auto"/>
                <w:left w:val="none" w:sz="0" w:space="0" w:color="auto"/>
                <w:bottom w:val="none" w:sz="0" w:space="0" w:color="auto"/>
                <w:right w:val="none" w:sz="0" w:space="0" w:color="auto"/>
              </w:divBdr>
            </w:div>
            <w:div w:id="1212696468">
              <w:marLeft w:val="0"/>
              <w:marRight w:val="0"/>
              <w:marTop w:val="0"/>
              <w:marBottom w:val="0"/>
              <w:divBdr>
                <w:top w:val="none" w:sz="0" w:space="0" w:color="auto"/>
                <w:left w:val="none" w:sz="0" w:space="0" w:color="auto"/>
                <w:bottom w:val="none" w:sz="0" w:space="0" w:color="auto"/>
                <w:right w:val="none" w:sz="0" w:space="0" w:color="auto"/>
              </w:divBdr>
            </w:div>
            <w:div w:id="1414542858">
              <w:marLeft w:val="0"/>
              <w:marRight w:val="0"/>
              <w:marTop w:val="0"/>
              <w:marBottom w:val="0"/>
              <w:divBdr>
                <w:top w:val="none" w:sz="0" w:space="0" w:color="auto"/>
                <w:left w:val="none" w:sz="0" w:space="0" w:color="auto"/>
                <w:bottom w:val="none" w:sz="0" w:space="0" w:color="auto"/>
                <w:right w:val="none" w:sz="0" w:space="0" w:color="auto"/>
              </w:divBdr>
            </w:div>
          </w:divsChild>
        </w:div>
        <w:div w:id="716012657">
          <w:marLeft w:val="0"/>
          <w:marRight w:val="0"/>
          <w:marTop w:val="0"/>
          <w:marBottom w:val="0"/>
          <w:divBdr>
            <w:top w:val="none" w:sz="0" w:space="0" w:color="auto"/>
            <w:left w:val="none" w:sz="0" w:space="0" w:color="auto"/>
            <w:bottom w:val="none" w:sz="0" w:space="0" w:color="auto"/>
            <w:right w:val="none" w:sz="0" w:space="0" w:color="auto"/>
          </w:divBdr>
          <w:divsChild>
            <w:div w:id="99298258">
              <w:marLeft w:val="0"/>
              <w:marRight w:val="0"/>
              <w:marTop w:val="0"/>
              <w:marBottom w:val="0"/>
              <w:divBdr>
                <w:top w:val="none" w:sz="0" w:space="0" w:color="auto"/>
                <w:left w:val="none" w:sz="0" w:space="0" w:color="auto"/>
                <w:bottom w:val="none" w:sz="0" w:space="0" w:color="auto"/>
                <w:right w:val="none" w:sz="0" w:space="0" w:color="auto"/>
              </w:divBdr>
            </w:div>
          </w:divsChild>
        </w:div>
        <w:div w:id="1264537799">
          <w:marLeft w:val="0"/>
          <w:marRight w:val="0"/>
          <w:marTop w:val="0"/>
          <w:marBottom w:val="0"/>
          <w:divBdr>
            <w:top w:val="none" w:sz="0" w:space="0" w:color="auto"/>
            <w:left w:val="none" w:sz="0" w:space="0" w:color="auto"/>
            <w:bottom w:val="none" w:sz="0" w:space="0" w:color="auto"/>
            <w:right w:val="none" w:sz="0" w:space="0" w:color="auto"/>
          </w:divBdr>
          <w:divsChild>
            <w:div w:id="888105730">
              <w:marLeft w:val="0"/>
              <w:marRight w:val="0"/>
              <w:marTop w:val="0"/>
              <w:marBottom w:val="0"/>
              <w:divBdr>
                <w:top w:val="none" w:sz="0" w:space="0" w:color="auto"/>
                <w:left w:val="none" w:sz="0" w:space="0" w:color="auto"/>
                <w:bottom w:val="none" w:sz="0" w:space="0" w:color="auto"/>
                <w:right w:val="none" w:sz="0" w:space="0" w:color="auto"/>
              </w:divBdr>
            </w:div>
          </w:divsChild>
        </w:div>
        <w:div w:id="1509446403">
          <w:marLeft w:val="0"/>
          <w:marRight w:val="0"/>
          <w:marTop w:val="0"/>
          <w:marBottom w:val="0"/>
          <w:divBdr>
            <w:top w:val="none" w:sz="0" w:space="0" w:color="auto"/>
            <w:left w:val="none" w:sz="0" w:space="0" w:color="auto"/>
            <w:bottom w:val="none" w:sz="0" w:space="0" w:color="auto"/>
            <w:right w:val="none" w:sz="0" w:space="0" w:color="auto"/>
          </w:divBdr>
          <w:divsChild>
            <w:div w:id="1909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ancerresearchuk.org/about-cancer/treatment/chemotherapy/fertility/women/ways-to-keep-fertility?_gl=1*1stgk5q*_gcl_au*MTQyMTUzOTE1NC4xNjg5MzMxNTUz*_ga*MTk0MzMzNjY0OS4xNjU4OTM2NjI2*_ga_58736Z2GNN*MTY4OTMzMDczMS41LjEuMTY4OTMzMTU1NC40Mi4wLjA.&amp;_ga=2.134463409.1519461036.1689330732-1943336649.1658936626"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nice.org.uk/guidance/cg156/evidence/full-guideline-pdf-188539453"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ice.org.uk/guidance/cg156/evidence/full-guideline-pdf-188539453" TargetMode="External"/><Relationship Id="rId25" Type="http://schemas.openxmlformats.org/officeDocument/2006/relationships/hyperlink" Target="https://www.cheshireandmerseyside.nhs.uk/your-health/individual-funding-requests-ifr/"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fertilitynetworkuk.org/" TargetMode="External"/><Relationship Id="rId20" Type="http://schemas.openxmlformats.org/officeDocument/2006/relationships/hyperlink" Target="https://www.nice.org.uk/guidance/cg156"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gland.nhs.uk/wp-content/uploads/2018/07/Pre-implantation-genetic-diagnosis.pdf"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fea.gov.uk/about-us/our-campaign-to-reduce-multiple-births/"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fea.gov.uk/i-am/i-have-a-genetic-disease-in-my-family/"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gov.uk/government/publications/nhs-cost-recovery-overseas-visitors"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885154-2bfc-403d-acdb-85522c2e81b6">
      <Terms xmlns="http://schemas.microsoft.com/office/infopath/2007/PartnerControls"/>
    </lcf76f155ced4ddcb4097134ff3c332f>
    <TaxCatchAll xmlns="f38facb7-2487-4037-9c86-b8baa5c60b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C2A48469B114E89F6BE24DAE3DD85" ma:contentTypeVersion="15" ma:contentTypeDescription="Create a new document." ma:contentTypeScope="" ma:versionID="e90482d3afad6965ad9ecf013c506a30">
  <xsd:schema xmlns:xsd="http://www.w3.org/2001/XMLSchema" xmlns:xs="http://www.w3.org/2001/XMLSchema" xmlns:p="http://schemas.microsoft.com/office/2006/metadata/properties" xmlns:ns2="0d1ffd26-17e5-4d4c-a07c-73a93d027f33" xmlns:ns3="6a885154-2bfc-403d-acdb-85522c2e81b6" xmlns:ns4="f38facb7-2487-4037-9c86-b8baa5c60bb4" targetNamespace="http://schemas.microsoft.com/office/2006/metadata/properties" ma:root="true" ma:fieldsID="b99d2e8422f95fd8c4b5575e7cc5d729" ns2:_="" ns3:_="" ns4:_="">
    <xsd:import namespace="0d1ffd26-17e5-4d4c-a07c-73a93d027f33"/>
    <xsd:import namespace="6a885154-2bfc-403d-acdb-85522c2e81b6"/>
    <xsd:import namespace="f38facb7-2487-4037-9c86-b8baa5c60bb4"/>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fd26-17e5-4d4c-a07c-73a93d027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5154-2bfc-403d-acdb-85522c2e81b6"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facb7-2487-4037-9c86-b8baa5c60b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e749c8-b9fd-44d7-b751-d2b9edff5e15}" ma:internalName="TaxCatchAll" ma:showField="CatchAllData" ma:web="f38facb7-2487-4037-9c86-b8baa5c6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A77B-457F-4331-80B1-9492B7A7D7E1}">
  <ds:schemaRefs>
    <ds:schemaRef ds:uri="http://schemas.openxmlformats.org/officeDocument/2006/bibliography"/>
  </ds:schemaRefs>
</ds:datastoreItem>
</file>

<file path=customXml/itemProps2.xml><?xml version="1.0" encoding="utf-8"?>
<ds:datastoreItem xmlns:ds="http://schemas.openxmlformats.org/officeDocument/2006/customXml" ds:itemID="{C47B9966-6CC6-466F-A4F9-9CD33E2C963B}">
  <ds:schemaRefs>
    <ds:schemaRef ds:uri="0d2b93c1-2546-4ec3-a0d6-1ebbd9aa9bea"/>
    <ds:schemaRef ds:uri="bd5c9077-64d3-4b5d-b4cd-8d9877b3a477"/>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98B2780-E6DC-473E-9ECA-17EE77E04081}">
  <ds:schemaRefs>
    <ds:schemaRef ds:uri="http://schemas.microsoft.com/sharepoint/v3/contenttype/forms"/>
  </ds:schemaRefs>
</ds:datastoreItem>
</file>

<file path=customXml/itemProps4.xml><?xml version="1.0" encoding="utf-8"?>
<ds:datastoreItem xmlns:ds="http://schemas.openxmlformats.org/officeDocument/2006/customXml" ds:itemID="{1EFD75CD-9E3E-4F6F-A198-D6A05C13EA99}"/>
</file>

<file path=docProps/app.xml><?xml version="1.0" encoding="utf-8"?>
<Properties xmlns="http://schemas.openxmlformats.org/officeDocument/2006/extended-properties" xmlns:vt="http://schemas.openxmlformats.org/officeDocument/2006/docPropsVTypes">
  <Template>Normal</Template>
  <TotalTime>2</TotalTime>
  <Pages>15</Pages>
  <Words>4934</Words>
  <Characters>28124</Characters>
  <Application>Microsoft Office Word</Application>
  <DocSecurity>0</DocSecurity>
  <Lines>234</Lines>
  <Paragraphs>65</Paragraphs>
  <ScaleCrop>false</ScaleCrop>
  <Company>NHS</Company>
  <LinksUpToDate>false</LinksUpToDate>
  <CharactersWithSpaces>32993</CharactersWithSpaces>
  <SharedDoc>false</SharedDoc>
  <HLinks>
    <vt:vector size="276" baseType="variant">
      <vt:variant>
        <vt:i4>1376282</vt:i4>
      </vt:variant>
      <vt:variant>
        <vt:i4>246</vt:i4>
      </vt:variant>
      <vt:variant>
        <vt:i4>0</vt:i4>
      </vt:variant>
      <vt:variant>
        <vt:i4>5</vt:i4>
      </vt:variant>
      <vt:variant>
        <vt:lpwstr>https://www.cheshireandmerseyside.nhs.uk/your-health/individual-funding-requests-ifr/</vt:lpwstr>
      </vt:variant>
      <vt:variant>
        <vt:lpwstr/>
      </vt:variant>
      <vt:variant>
        <vt:i4>5308501</vt:i4>
      </vt:variant>
      <vt:variant>
        <vt:i4>243</vt:i4>
      </vt:variant>
      <vt:variant>
        <vt:i4>0</vt:i4>
      </vt:variant>
      <vt:variant>
        <vt:i4>5</vt:i4>
      </vt:variant>
      <vt:variant>
        <vt:lpwstr>https://www.england.nhs.uk/wp-content/uploads/2018/07/Pre-implantation-genetic-diagnosis.pdf</vt:lpwstr>
      </vt:variant>
      <vt:variant>
        <vt:lpwstr/>
      </vt:variant>
      <vt:variant>
        <vt:i4>65612</vt:i4>
      </vt:variant>
      <vt:variant>
        <vt:i4>240</vt:i4>
      </vt:variant>
      <vt:variant>
        <vt:i4>0</vt:i4>
      </vt:variant>
      <vt:variant>
        <vt:i4>5</vt:i4>
      </vt:variant>
      <vt:variant>
        <vt:lpwstr>https://www.hfea.gov.uk/about-us/our-campaign-to-reduce-multiple-births/</vt:lpwstr>
      </vt:variant>
      <vt:variant>
        <vt:lpwstr/>
      </vt:variant>
      <vt:variant>
        <vt:i4>2097211</vt:i4>
      </vt:variant>
      <vt:variant>
        <vt:i4>237</vt:i4>
      </vt:variant>
      <vt:variant>
        <vt:i4>0</vt:i4>
      </vt:variant>
      <vt:variant>
        <vt:i4>5</vt:i4>
      </vt:variant>
      <vt:variant>
        <vt:lpwstr>https://www.gov.uk/government/publications/nhs-cost-recovery-overseas-visitors</vt:lpwstr>
      </vt:variant>
      <vt:variant>
        <vt:lpwstr/>
      </vt:variant>
      <vt:variant>
        <vt:i4>1572930</vt:i4>
      </vt:variant>
      <vt:variant>
        <vt:i4>234</vt:i4>
      </vt:variant>
      <vt:variant>
        <vt:i4>0</vt:i4>
      </vt:variant>
      <vt:variant>
        <vt:i4>5</vt:i4>
      </vt:variant>
      <vt:variant>
        <vt:lpwstr>https://www.nice.org.uk/guidance/cg156/evidence/full-guideline-pdf-188539453</vt:lpwstr>
      </vt:variant>
      <vt:variant>
        <vt:lpwstr/>
      </vt:variant>
      <vt:variant>
        <vt:i4>6815781</vt:i4>
      </vt:variant>
      <vt:variant>
        <vt:i4>231</vt:i4>
      </vt:variant>
      <vt:variant>
        <vt:i4>0</vt:i4>
      </vt:variant>
      <vt:variant>
        <vt:i4>5</vt:i4>
      </vt:variant>
      <vt:variant>
        <vt:lpwstr>https://www.nice.org.uk/guidance/cg156</vt:lpwstr>
      </vt:variant>
      <vt:variant>
        <vt:lpwstr/>
      </vt:variant>
      <vt:variant>
        <vt:i4>7995505</vt:i4>
      </vt:variant>
      <vt:variant>
        <vt:i4>228</vt:i4>
      </vt:variant>
      <vt:variant>
        <vt:i4>0</vt:i4>
      </vt:variant>
      <vt:variant>
        <vt:i4>5</vt:i4>
      </vt:variant>
      <vt:variant>
        <vt:lpwstr>https://www.hfea.gov.uk/i-am/i-have-a-genetic-disease-in-my-family/</vt:lpwstr>
      </vt:variant>
      <vt:variant>
        <vt:lpwstr/>
      </vt:variant>
      <vt:variant>
        <vt:i4>3342364</vt:i4>
      </vt:variant>
      <vt:variant>
        <vt:i4>225</vt:i4>
      </vt:variant>
      <vt:variant>
        <vt:i4>0</vt:i4>
      </vt:variant>
      <vt:variant>
        <vt:i4>5</vt:i4>
      </vt:variant>
      <vt:variant>
        <vt:lpwstr>https://www.cancerresearchuk.org/about-cancer/treatment/chemotherapy/fertility/women/ways-to-keep-fertility?_gl=1*1stgk5q*_gcl_au*MTQyMTUzOTE1NC4xNjg5MzMxNTUz*_ga*MTk0MzMzNjY0OS4xNjU4OTM2NjI2*_ga_58736Z2GNN*MTY4OTMzMDczMS41LjEuMTY4OTMzMTU1NC40Mi4wLjA.&amp;_ga=2.134463409.1519461036.1689330732-1943336649.1658936626</vt:lpwstr>
      </vt:variant>
      <vt:variant>
        <vt:lpwstr/>
      </vt:variant>
      <vt:variant>
        <vt:i4>1572930</vt:i4>
      </vt:variant>
      <vt:variant>
        <vt:i4>222</vt:i4>
      </vt:variant>
      <vt:variant>
        <vt:i4>0</vt:i4>
      </vt:variant>
      <vt:variant>
        <vt:i4>5</vt:i4>
      </vt:variant>
      <vt:variant>
        <vt:lpwstr>https://www.nice.org.uk/guidance/cg156/evidence/full-guideline-pdf-188539453</vt:lpwstr>
      </vt:variant>
      <vt:variant>
        <vt:lpwstr/>
      </vt:variant>
      <vt:variant>
        <vt:i4>6619236</vt:i4>
      </vt:variant>
      <vt:variant>
        <vt:i4>219</vt:i4>
      </vt:variant>
      <vt:variant>
        <vt:i4>0</vt:i4>
      </vt:variant>
      <vt:variant>
        <vt:i4>5</vt:i4>
      </vt:variant>
      <vt:variant>
        <vt:lpwstr>https://fertilitynetworkuk.org/</vt:lpwstr>
      </vt:variant>
      <vt:variant>
        <vt:lpwstr/>
      </vt:variant>
      <vt:variant>
        <vt:i4>1114175</vt:i4>
      </vt:variant>
      <vt:variant>
        <vt:i4>212</vt:i4>
      </vt:variant>
      <vt:variant>
        <vt:i4>0</vt:i4>
      </vt:variant>
      <vt:variant>
        <vt:i4>5</vt:i4>
      </vt:variant>
      <vt:variant>
        <vt:lpwstr/>
      </vt:variant>
      <vt:variant>
        <vt:lpwstr>_Toc164321824</vt:lpwstr>
      </vt:variant>
      <vt:variant>
        <vt:i4>1114175</vt:i4>
      </vt:variant>
      <vt:variant>
        <vt:i4>206</vt:i4>
      </vt:variant>
      <vt:variant>
        <vt:i4>0</vt:i4>
      </vt:variant>
      <vt:variant>
        <vt:i4>5</vt:i4>
      </vt:variant>
      <vt:variant>
        <vt:lpwstr/>
      </vt:variant>
      <vt:variant>
        <vt:lpwstr>_Toc164321823</vt:lpwstr>
      </vt:variant>
      <vt:variant>
        <vt:i4>1114175</vt:i4>
      </vt:variant>
      <vt:variant>
        <vt:i4>200</vt:i4>
      </vt:variant>
      <vt:variant>
        <vt:i4>0</vt:i4>
      </vt:variant>
      <vt:variant>
        <vt:i4>5</vt:i4>
      </vt:variant>
      <vt:variant>
        <vt:lpwstr/>
      </vt:variant>
      <vt:variant>
        <vt:lpwstr>_Toc164321822</vt:lpwstr>
      </vt:variant>
      <vt:variant>
        <vt:i4>1114175</vt:i4>
      </vt:variant>
      <vt:variant>
        <vt:i4>194</vt:i4>
      </vt:variant>
      <vt:variant>
        <vt:i4>0</vt:i4>
      </vt:variant>
      <vt:variant>
        <vt:i4>5</vt:i4>
      </vt:variant>
      <vt:variant>
        <vt:lpwstr/>
      </vt:variant>
      <vt:variant>
        <vt:lpwstr>_Toc164321821</vt:lpwstr>
      </vt:variant>
      <vt:variant>
        <vt:i4>1114175</vt:i4>
      </vt:variant>
      <vt:variant>
        <vt:i4>188</vt:i4>
      </vt:variant>
      <vt:variant>
        <vt:i4>0</vt:i4>
      </vt:variant>
      <vt:variant>
        <vt:i4>5</vt:i4>
      </vt:variant>
      <vt:variant>
        <vt:lpwstr/>
      </vt:variant>
      <vt:variant>
        <vt:lpwstr>_Toc164321820</vt:lpwstr>
      </vt:variant>
      <vt:variant>
        <vt:i4>1179711</vt:i4>
      </vt:variant>
      <vt:variant>
        <vt:i4>182</vt:i4>
      </vt:variant>
      <vt:variant>
        <vt:i4>0</vt:i4>
      </vt:variant>
      <vt:variant>
        <vt:i4>5</vt:i4>
      </vt:variant>
      <vt:variant>
        <vt:lpwstr/>
      </vt:variant>
      <vt:variant>
        <vt:lpwstr>_Toc164321819</vt:lpwstr>
      </vt:variant>
      <vt:variant>
        <vt:i4>1179711</vt:i4>
      </vt:variant>
      <vt:variant>
        <vt:i4>176</vt:i4>
      </vt:variant>
      <vt:variant>
        <vt:i4>0</vt:i4>
      </vt:variant>
      <vt:variant>
        <vt:i4>5</vt:i4>
      </vt:variant>
      <vt:variant>
        <vt:lpwstr/>
      </vt:variant>
      <vt:variant>
        <vt:lpwstr>_Toc164321818</vt:lpwstr>
      </vt:variant>
      <vt:variant>
        <vt:i4>1179711</vt:i4>
      </vt:variant>
      <vt:variant>
        <vt:i4>170</vt:i4>
      </vt:variant>
      <vt:variant>
        <vt:i4>0</vt:i4>
      </vt:variant>
      <vt:variant>
        <vt:i4>5</vt:i4>
      </vt:variant>
      <vt:variant>
        <vt:lpwstr/>
      </vt:variant>
      <vt:variant>
        <vt:lpwstr>_Toc164321817</vt:lpwstr>
      </vt:variant>
      <vt:variant>
        <vt:i4>1179711</vt:i4>
      </vt:variant>
      <vt:variant>
        <vt:i4>164</vt:i4>
      </vt:variant>
      <vt:variant>
        <vt:i4>0</vt:i4>
      </vt:variant>
      <vt:variant>
        <vt:i4>5</vt:i4>
      </vt:variant>
      <vt:variant>
        <vt:lpwstr/>
      </vt:variant>
      <vt:variant>
        <vt:lpwstr>_Toc164321816</vt:lpwstr>
      </vt:variant>
      <vt:variant>
        <vt:i4>1179711</vt:i4>
      </vt:variant>
      <vt:variant>
        <vt:i4>158</vt:i4>
      </vt:variant>
      <vt:variant>
        <vt:i4>0</vt:i4>
      </vt:variant>
      <vt:variant>
        <vt:i4>5</vt:i4>
      </vt:variant>
      <vt:variant>
        <vt:lpwstr/>
      </vt:variant>
      <vt:variant>
        <vt:lpwstr>_Toc164321815</vt:lpwstr>
      </vt:variant>
      <vt:variant>
        <vt:i4>1179711</vt:i4>
      </vt:variant>
      <vt:variant>
        <vt:i4>152</vt:i4>
      </vt:variant>
      <vt:variant>
        <vt:i4>0</vt:i4>
      </vt:variant>
      <vt:variant>
        <vt:i4>5</vt:i4>
      </vt:variant>
      <vt:variant>
        <vt:lpwstr/>
      </vt:variant>
      <vt:variant>
        <vt:lpwstr>_Toc164321814</vt:lpwstr>
      </vt:variant>
      <vt:variant>
        <vt:i4>1179711</vt:i4>
      </vt:variant>
      <vt:variant>
        <vt:i4>146</vt:i4>
      </vt:variant>
      <vt:variant>
        <vt:i4>0</vt:i4>
      </vt:variant>
      <vt:variant>
        <vt:i4>5</vt:i4>
      </vt:variant>
      <vt:variant>
        <vt:lpwstr/>
      </vt:variant>
      <vt:variant>
        <vt:lpwstr>_Toc164321813</vt:lpwstr>
      </vt:variant>
      <vt:variant>
        <vt:i4>1179711</vt:i4>
      </vt:variant>
      <vt:variant>
        <vt:i4>140</vt:i4>
      </vt:variant>
      <vt:variant>
        <vt:i4>0</vt:i4>
      </vt:variant>
      <vt:variant>
        <vt:i4>5</vt:i4>
      </vt:variant>
      <vt:variant>
        <vt:lpwstr/>
      </vt:variant>
      <vt:variant>
        <vt:lpwstr>_Toc164321812</vt:lpwstr>
      </vt:variant>
      <vt:variant>
        <vt:i4>1179711</vt:i4>
      </vt:variant>
      <vt:variant>
        <vt:i4>134</vt:i4>
      </vt:variant>
      <vt:variant>
        <vt:i4>0</vt:i4>
      </vt:variant>
      <vt:variant>
        <vt:i4>5</vt:i4>
      </vt:variant>
      <vt:variant>
        <vt:lpwstr/>
      </vt:variant>
      <vt:variant>
        <vt:lpwstr>_Toc164321811</vt:lpwstr>
      </vt:variant>
      <vt:variant>
        <vt:i4>1179711</vt:i4>
      </vt:variant>
      <vt:variant>
        <vt:i4>128</vt:i4>
      </vt:variant>
      <vt:variant>
        <vt:i4>0</vt:i4>
      </vt:variant>
      <vt:variant>
        <vt:i4>5</vt:i4>
      </vt:variant>
      <vt:variant>
        <vt:lpwstr/>
      </vt:variant>
      <vt:variant>
        <vt:lpwstr>_Toc164321810</vt:lpwstr>
      </vt:variant>
      <vt:variant>
        <vt:i4>1245247</vt:i4>
      </vt:variant>
      <vt:variant>
        <vt:i4>122</vt:i4>
      </vt:variant>
      <vt:variant>
        <vt:i4>0</vt:i4>
      </vt:variant>
      <vt:variant>
        <vt:i4>5</vt:i4>
      </vt:variant>
      <vt:variant>
        <vt:lpwstr/>
      </vt:variant>
      <vt:variant>
        <vt:lpwstr>_Toc164321809</vt:lpwstr>
      </vt:variant>
      <vt:variant>
        <vt:i4>1245247</vt:i4>
      </vt:variant>
      <vt:variant>
        <vt:i4>116</vt:i4>
      </vt:variant>
      <vt:variant>
        <vt:i4>0</vt:i4>
      </vt:variant>
      <vt:variant>
        <vt:i4>5</vt:i4>
      </vt:variant>
      <vt:variant>
        <vt:lpwstr/>
      </vt:variant>
      <vt:variant>
        <vt:lpwstr>_Toc164321808</vt:lpwstr>
      </vt:variant>
      <vt:variant>
        <vt:i4>1245247</vt:i4>
      </vt:variant>
      <vt:variant>
        <vt:i4>110</vt:i4>
      </vt:variant>
      <vt:variant>
        <vt:i4>0</vt:i4>
      </vt:variant>
      <vt:variant>
        <vt:i4>5</vt:i4>
      </vt:variant>
      <vt:variant>
        <vt:lpwstr/>
      </vt:variant>
      <vt:variant>
        <vt:lpwstr>_Toc164321807</vt:lpwstr>
      </vt:variant>
      <vt:variant>
        <vt:i4>1245247</vt:i4>
      </vt:variant>
      <vt:variant>
        <vt:i4>104</vt:i4>
      </vt:variant>
      <vt:variant>
        <vt:i4>0</vt:i4>
      </vt:variant>
      <vt:variant>
        <vt:i4>5</vt:i4>
      </vt:variant>
      <vt:variant>
        <vt:lpwstr/>
      </vt:variant>
      <vt:variant>
        <vt:lpwstr>_Toc164321806</vt:lpwstr>
      </vt:variant>
      <vt:variant>
        <vt:i4>1245247</vt:i4>
      </vt:variant>
      <vt:variant>
        <vt:i4>98</vt:i4>
      </vt:variant>
      <vt:variant>
        <vt:i4>0</vt:i4>
      </vt:variant>
      <vt:variant>
        <vt:i4>5</vt:i4>
      </vt:variant>
      <vt:variant>
        <vt:lpwstr/>
      </vt:variant>
      <vt:variant>
        <vt:lpwstr>_Toc164321805</vt:lpwstr>
      </vt:variant>
      <vt:variant>
        <vt:i4>1245247</vt:i4>
      </vt:variant>
      <vt:variant>
        <vt:i4>92</vt:i4>
      </vt:variant>
      <vt:variant>
        <vt:i4>0</vt:i4>
      </vt:variant>
      <vt:variant>
        <vt:i4>5</vt:i4>
      </vt:variant>
      <vt:variant>
        <vt:lpwstr/>
      </vt:variant>
      <vt:variant>
        <vt:lpwstr>_Toc164321804</vt:lpwstr>
      </vt:variant>
      <vt:variant>
        <vt:i4>1245247</vt:i4>
      </vt:variant>
      <vt:variant>
        <vt:i4>86</vt:i4>
      </vt:variant>
      <vt:variant>
        <vt:i4>0</vt:i4>
      </vt:variant>
      <vt:variant>
        <vt:i4>5</vt:i4>
      </vt:variant>
      <vt:variant>
        <vt:lpwstr/>
      </vt:variant>
      <vt:variant>
        <vt:lpwstr>_Toc164321803</vt:lpwstr>
      </vt:variant>
      <vt:variant>
        <vt:i4>1245247</vt:i4>
      </vt:variant>
      <vt:variant>
        <vt:i4>80</vt:i4>
      </vt:variant>
      <vt:variant>
        <vt:i4>0</vt:i4>
      </vt:variant>
      <vt:variant>
        <vt:i4>5</vt:i4>
      </vt:variant>
      <vt:variant>
        <vt:lpwstr/>
      </vt:variant>
      <vt:variant>
        <vt:lpwstr>_Toc164321802</vt:lpwstr>
      </vt:variant>
      <vt:variant>
        <vt:i4>1245247</vt:i4>
      </vt:variant>
      <vt:variant>
        <vt:i4>74</vt:i4>
      </vt:variant>
      <vt:variant>
        <vt:i4>0</vt:i4>
      </vt:variant>
      <vt:variant>
        <vt:i4>5</vt:i4>
      </vt:variant>
      <vt:variant>
        <vt:lpwstr/>
      </vt:variant>
      <vt:variant>
        <vt:lpwstr>_Toc164321801</vt:lpwstr>
      </vt:variant>
      <vt:variant>
        <vt:i4>1245247</vt:i4>
      </vt:variant>
      <vt:variant>
        <vt:i4>68</vt:i4>
      </vt:variant>
      <vt:variant>
        <vt:i4>0</vt:i4>
      </vt:variant>
      <vt:variant>
        <vt:i4>5</vt:i4>
      </vt:variant>
      <vt:variant>
        <vt:lpwstr/>
      </vt:variant>
      <vt:variant>
        <vt:lpwstr>_Toc164321800</vt:lpwstr>
      </vt:variant>
      <vt:variant>
        <vt:i4>1703984</vt:i4>
      </vt:variant>
      <vt:variant>
        <vt:i4>62</vt:i4>
      </vt:variant>
      <vt:variant>
        <vt:i4>0</vt:i4>
      </vt:variant>
      <vt:variant>
        <vt:i4>5</vt:i4>
      </vt:variant>
      <vt:variant>
        <vt:lpwstr/>
      </vt:variant>
      <vt:variant>
        <vt:lpwstr>_Toc164321799</vt:lpwstr>
      </vt:variant>
      <vt:variant>
        <vt:i4>1703984</vt:i4>
      </vt:variant>
      <vt:variant>
        <vt:i4>56</vt:i4>
      </vt:variant>
      <vt:variant>
        <vt:i4>0</vt:i4>
      </vt:variant>
      <vt:variant>
        <vt:i4>5</vt:i4>
      </vt:variant>
      <vt:variant>
        <vt:lpwstr/>
      </vt:variant>
      <vt:variant>
        <vt:lpwstr>_Toc164321798</vt:lpwstr>
      </vt:variant>
      <vt:variant>
        <vt:i4>1703984</vt:i4>
      </vt:variant>
      <vt:variant>
        <vt:i4>50</vt:i4>
      </vt:variant>
      <vt:variant>
        <vt:i4>0</vt:i4>
      </vt:variant>
      <vt:variant>
        <vt:i4>5</vt:i4>
      </vt:variant>
      <vt:variant>
        <vt:lpwstr/>
      </vt:variant>
      <vt:variant>
        <vt:lpwstr>_Toc164321797</vt:lpwstr>
      </vt:variant>
      <vt:variant>
        <vt:i4>1703984</vt:i4>
      </vt:variant>
      <vt:variant>
        <vt:i4>44</vt:i4>
      </vt:variant>
      <vt:variant>
        <vt:i4>0</vt:i4>
      </vt:variant>
      <vt:variant>
        <vt:i4>5</vt:i4>
      </vt:variant>
      <vt:variant>
        <vt:lpwstr/>
      </vt:variant>
      <vt:variant>
        <vt:lpwstr>_Toc164321796</vt:lpwstr>
      </vt:variant>
      <vt:variant>
        <vt:i4>1703984</vt:i4>
      </vt:variant>
      <vt:variant>
        <vt:i4>38</vt:i4>
      </vt:variant>
      <vt:variant>
        <vt:i4>0</vt:i4>
      </vt:variant>
      <vt:variant>
        <vt:i4>5</vt:i4>
      </vt:variant>
      <vt:variant>
        <vt:lpwstr/>
      </vt:variant>
      <vt:variant>
        <vt:lpwstr>_Toc164321795</vt:lpwstr>
      </vt:variant>
      <vt:variant>
        <vt:i4>1703984</vt:i4>
      </vt:variant>
      <vt:variant>
        <vt:i4>32</vt:i4>
      </vt:variant>
      <vt:variant>
        <vt:i4>0</vt:i4>
      </vt:variant>
      <vt:variant>
        <vt:i4>5</vt:i4>
      </vt:variant>
      <vt:variant>
        <vt:lpwstr/>
      </vt:variant>
      <vt:variant>
        <vt:lpwstr>_Toc164321794</vt:lpwstr>
      </vt:variant>
      <vt:variant>
        <vt:i4>1703984</vt:i4>
      </vt:variant>
      <vt:variant>
        <vt:i4>26</vt:i4>
      </vt:variant>
      <vt:variant>
        <vt:i4>0</vt:i4>
      </vt:variant>
      <vt:variant>
        <vt:i4>5</vt:i4>
      </vt:variant>
      <vt:variant>
        <vt:lpwstr/>
      </vt:variant>
      <vt:variant>
        <vt:lpwstr>_Toc164321793</vt:lpwstr>
      </vt:variant>
      <vt:variant>
        <vt:i4>1703984</vt:i4>
      </vt:variant>
      <vt:variant>
        <vt:i4>20</vt:i4>
      </vt:variant>
      <vt:variant>
        <vt:i4>0</vt:i4>
      </vt:variant>
      <vt:variant>
        <vt:i4>5</vt:i4>
      </vt:variant>
      <vt:variant>
        <vt:lpwstr/>
      </vt:variant>
      <vt:variant>
        <vt:lpwstr>_Toc164321792</vt:lpwstr>
      </vt:variant>
      <vt:variant>
        <vt:i4>1703984</vt:i4>
      </vt:variant>
      <vt:variant>
        <vt:i4>14</vt:i4>
      </vt:variant>
      <vt:variant>
        <vt:i4>0</vt:i4>
      </vt:variant>
      <vt:variant>
        <vt:i4>5</vt:i4>
      </vt:variant>
      <vt:variant>
        <vt:lpwstr/>
      </vt:variant>
      <vt:variant>
        <vt:lpwstr>_Toc164321791</vt:lpwstr>
      </vt:variant>
      <vt:variant>
        <vt:i4>1703984</vt:i4>
      </vt:variant>
      <vt:variant>
        <vt:i4>8</vt:i4>
      </vt:variant>
      <vt:variant>
        <vt:i4>0</vt:i4>
      </vt:variant>
      <vt:variant>
        <vt:i4>5</vt:i4>
      </vt:variant>
      <vt:variant>
        <vt:lpwstr/>
      </vt:variant>
      <vt:variant>
        <vt:lpwstr>_Toc164321790</vt:lpwstr>
      </vt:variant>
      <vt:variant>
        <vt:i4>1769520</vt:i4>
      </vt:variant>
      <vt:variant>
        <vt:i4>2</vt:i4>
      </vt:variant>
      <vt:variant>
        <vt:i4>0</vt:i4>
      </vt:variant>
      <vt:variant>
        <vt:i4>5</vt:i4>
      </vt:variant>
      <vt:variant>
        <vt:lpwstr/>
      </vt:variant>
      <vt:variant>
        <vt:lpwstr>_Toc164321789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Lowe</dc:creator>
  <cp:keywords/>
  <dc:description/>
  <cp:lastModifiedBy>Olivia Billington</cp:lastModifiedBy>
  <cp:revision>2</cp:revision>
  <dcterms:created xsi:type="dcterms:W3CDTF">2025-06-02T10:28:00Z</dcterms:created>
  <dcterms:modified xsi:type="dcterms:W3CDTF">2025-06-02T10:28:00Z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0x0101003BEC2A48469B114E89F6BE24DAE3DD85</vt:lpwstr>
  </property>
  <property fmtid="{D5CDD505-2E9C-101B-9397-08002B2CF9AE}" pid="3" name="MSIP_Label_defa4170-0d19-0005-0004-bc88714345d2_Enabled">
    <vt:lpwstr>true</vt:lpwstr>
  </property>
  <property fmtid="{D5CDD505-2E9C-101B-9397-08002B2CF9AE}" pid="4" name="MSIP_Label_defa4170-0d19-0005-0004-bc88714345d2_SetDate">
    <vt:lpwstr>2024-10-24T12:43:53Z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fa308aa5-7f36-475e-8c69-a40290198ca6</vt:lpwstr>
  </property>
  <property fmtid="{D5CDD505-2E9C-101B-9397-08002B2CF9AE}" pid="8" name="MSIP_Label_defa4170-0d19-0005-0004-bc88714345d2_ActionId">
    <vt:lpwstr>3b7ca0a7-e460-4a1a-b144-6f145b33d0c0</vt:lpwstr>
  </property>
  <property fmtid="{D5CDD505-2E9C-101B-9397-08002B2CF9AE}" pid="9" name="MSIP_Label_defa4170-0d19-0005-0004-bc88714345d2_ContentBits">
    <vt:lpwstr>0</vt:lpwstr>
  </property>
</Properties>
</file>